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EF365" w14:textId="77777777" w:rsidR="007F6CDA" w:rsidRDefault="00535261">
      <w:pPr>
        <w:spacing w:line="360" w:lineRule="auto"/>
        <w:jc w:val="center"/>
        <w:rPr>
          <w:rFonts w:ascii="仿宋" w:eastAsia="仿宋" w:hAnsi="仿宋"/>
          <w:b/>
          <w:bCs/>
          <w:sz w:val="28"/>
          <w:szCs w:val="28"/>
        </w:rPr>
      </w:pPr>
      <w:proofErr w:type="gramStart"/>
      <w:r>
        <w:rPr>
          <w:rFonts w:ascii="仿宋" w:eastAsia="仿宋" w:hAnsi="仿宋" w:hint="eastAsia"/>
          <w:b/>
          <w:bCs/>
          <w:sz w:val="28"/>
          <w:szCs w:val="28"/>
        </w:rPr>
        <w:t>等保测评</w:t>
      </w:r>
      <w:proofErr w:type="gramEnd"/>
      <w:r>
        <w:rPr>
          <w:rFonts w:ascii="仿宋" w:eastAsia="仿宋" w:hAnsi="仿宋" w:hint="eastAsia"/>
          <w:b/>
          <w:bCs/>
          <w:sz w:val="28"/>
          <w:szCs w:val="28"/>
        </w:rPr>
        <w:t>及商用密码应用安全性评估服务采购方案</w:t>
      </w:r>
    </w:p>
    <w:p w14:paraId="7F7740EA" w14:textId="77777777" w:rsidR="007F6CDA" w:rsidRDefault="007F6CDA">
      <w:pPr>
        <w:spacing w:line="360" w:lineRule="auto"/>
        <w:jc w:val="center"/>
        <w:rPr>
          <w:rFonts w:ascii="仿宋" w:eastAsia="仿宋" w:hAnsi="仿宋"/>
          <w:sz w:val="24"/>
          <w:szCs w:val="24"/>
        </w:rPr>
      </w:pPr>
    </w:p>
    <w:p w14:paraId="0D504F47" w14:textId="77777777" w:rsidR="007F6CDA" w:rsidRDefault="00535261">
      <w:pPr>
        <w:pStyle w:val="null3"/>
        <w:spacing w:line="360" w:lineRule="auto"/>
        <w:jc w:val="center"/>
        <w:outlineLvl w:val="2"/>
        <w:rPr>
          <w:rFonts w:ascii="仿宋" w:eastAsia="仿宋" w:hAnsi="仿宋" w:hint="default"/>
          <w:sz w:val="24"/>
          <w:szCs w:val="24"/>
        </w:rPr>
      </w:pPr>
      <w:r>
        <w:rPr>
          <w:rFonts w:ascii="仿宋" w:eastAsia="仿宋" w:hAnsi="仿宋" w:cs="仿宋_GB2312"/>
          <w:b/>
          <w:sz w:val="24"/>
          <w:szCs w:val="24"/>
        </w:rPr>
        <w:t>第一章、供应商参加本次政府采购活动应具备的条件</w:t>
      </w:r>
    </w:p>
    <w:p w14:paraId="5CFE0745" w14:textId="77777777" w:rsidR="007F6CDA" w:rsidRDefault="00535261">
      <w:pPr>
        <w:pStyle w:val="null3"/>
        <w:spacing w:line="360" w:lineRule="auto"/>
        <w:ind w:firstLine="480"/>
        <w:rPr>
          <w:rFonts w:ascii="仿宋" w:eastAsia="仿宋" w:hAnsi="仿宋" w:hint="default"/>
          <w:sz w:val="24"/>
          <w:szCs w:val="24"/>
        </w:rPr>
      </w:pPr>
      <w:r>
        <w:rPr>
          <w:rFonts w:ascii="仿宋" w:eastAsia="仿宋" w:hAnsi="仿宋" w:cs="仿宋_GB2312"/>
          <w:sz w:val="24"/>
          <w:szCs w:val="24"/>
        </w:rPr>
        <w:t>根据《中华人民共和国政府采购法》第二十二条规定，供应商应当具备下列条件：</w:t>
      </w:r>
    </w:p>
    <w:p w14:paraId="1869CFEA" w14:textId="77777777" w:rsidR="007F6CDA" w:rsidRDefault="00535261">
      <w:pPr>
        <w:pStyle w:val="null3"/>
        <w:spacing w:line="360" w:lineRule="auto"/>
        <w:ind w:firstLine="480"/>
        <w:rPr>
          <w:rFonts w:ascii="仿宋" w:eastAsia="仿宋" w:hAnsi="仿宋" w:hint="default"/>
          <w:sz w:val="24"/>
          <w:szCs w:val="24"/>
        </w:rPr>
      </w:pPr>
      <w:r>
        <w:rPr>
          <w:rFonts w:ascii="仿宋" w:eastAsia="仿宋" w:hAnsi="仿宋" w:cs="仿宋_GB2312"/>
          <w:sz w:val="24"/>
          <w:szCs w:val="24"/>
        </w:rPr>
        <w:t>一、需要满足的一般资格要求</w:t>
      </w:r>
      <w:r>
        <w:rPr>
          <w:rFonts w:ascii="仿宋" w:eastAsia="仿宋" w:hAnsi="仿宋" w:cs="仿宋_GB2312"/>
          <w:sz w:val="24"/>
          <w:szCs w:val="24"/>
        </w:rPr>
        <w:t>:</w:t>
      </w:r>
    </w:p>
    <w:p w14:paraId="2E5A026D" w14:textId="77777777" w:rsidR="007F6CDA" w:rsidRDefault="00535261">
      <w:pPr>
        <w:pStyle w:val="null3"/>
        <w:spacing w:line="360" w:lineRule="auto"/>
        <w:ind w:firstLine="480"/>
        <w:rPr>
          <w:rFonts w:ascii="仿宋" w:eastAsia="仿宋" w:hAnsi="仿宋" w:hint="default"/>
          <w:sz w:val="24"/>
          <w:szCs w:val="24"/>
        </w:rPr>
      </w:pPr>
      <w:r>
        <w:rPr>
          <w:rFonts w:ascii="仿宋" w:eastAsia="仿宋" w:hAnsi="仿宋" w:cs="仿宋_GB2312"/>
          <w:sz w:val="24"/>
          <w:szCs w:val="24"/>
        </w:rPr>
        <w:t>（一）具有独立承担民事责任的能力；</w:t>
      </w:r>
    </w:p>
    <w:p w14:paraId="4E1BCED6" w14:textId="77777777" w:rsidR="007F6CDA" w:rsidRDefault="00535261">
      <w:pPr>
        <w:pStyle w:val="null3"/>
        <w:spacing w:line="360" w:lineRule="auto"/>
        <w:ind w:firstLine="480"/>
        <w:rPr>
          <w:rFonts w:ascii="仿宋" w:eastAsia="仿宋" w:hAnsi="仿宋" w:hint="default"/>
          <w:sz w:val="24"/>
          <w:szCs w:val="24"/>
        </w:rPr>
      </w:pPr>
      <w:r>
        <w:rPr>
          <w:rFonts w:ascii="仿宋" w:eastAsia="仿宋" w:hAnsi="仿宋" w:cs="仿宋_GB2312"/>
          <w:sz w:val="24"/>
          <w:szCs w:val="24"/>
        </w:rPr>
        <w:t>（二）具有良好的商业信誉和健全的财务会计制度；</w:t>
      </w:r>
    </w:p>
    <w:p w14:paraId="1BDACD46" w14:textId="77777777" w:rsidR="007F6CDA" w:rsidRDefault="00535261">
      <w:pPr>
        <w:pStyle w:val="null3"/>
        <w:spacing w:line="360" w:lineRule="auto"/>
        <w:ind w:firstLine="480"/>
        <w:rPr>
          <w:rFonts w:ascii="仿宋" w:eastAsia="仿宋" w:hAnsi="仿宋" w:hint="default"/>
          <w:sz w:val="24"/>
          <w:szCs w:val="24"/>
        </w:rPr>
      </w:pPr>
      <w:r>
        <w:rPr>
          <w:rFonts w:ascii="仿宋" w:eastAsia="仿宋" w:hAnsi="仿宋" w:cs="仿宋_GB2312"/>
          <w:sz w:val="24"/>
          <w:szCs w:val="24"/>
        </w:rPr>
        <w:t>（三）具有履行合同所必需的设备和专业技术能力；</w:t>
      </w:r>
    </w:p>
    <w:p w14:paraId="3401AEA1" w14:textId="77777777" w:rsidR="007F6CDA" w:rsidRDefault="00535261">
      <w:pPr>
        <w:pStyle w:val="null3"/>
        <w:spacing w:line="360" w:lineRule="auto"/>
        <w:ind w:firstLine="480"/>
        <w:rPr>
          <w:rFonts w:ascii="仿宋" w:eastAsia="仿宋" w:hAnsi="仿宋" w:hint="default"/>
          <w:sz w:val="24"/>
          <w:szCs w:val="24"/>
        </w:rPr>
      </w:pPr>
      <w:r>
        <w:rPr>
          <w:rFonts w:ascii="仿宋" w:eastAsia="仿宋" w:hAnsi="仿宋" w:cs="仿宋_GB2312"/>
          <w:sz w:val="24"/>
          <w:szCs w:val="24"/>
        </w:rPr>
        <w:t>（四）有依法缴纳税收和社会保障资金的良好记录；</w:t>
      </w:r>
    </w:p>
    <w:p w14:paraId="3F9512CE" w14:textId="77777777" w:rsidR="007F6CDA" w:rsidRDefault="00535261">
      <w:pPr>
        <w:pStyle w:val="null3"/>
        <w:spacing w:line="360" w:lineRule="auto"/>
        <w:ind w:firstLine="480"/>
        <w:rPr>
          <w:rFonts w:ascii="仿宋" w:eastAsia="仿宋" w:hAnsi="仿宋" w:hint="default"/>
          <w:sz w:val="24"/>
          <w:szCs w:val="24"/>
        </w:rPr>
      </w:pPr>
      <w:r>
        <w:rPr>
          <w:rFonts w:ascii="仿宋" w:eastAsia="仿宋" w:hAnsi="仿宋" w:cs="仿宋_GB2312"/>
          <w:sz w:val="24"/>
          <w:szCs w:val="24"/>
        </w:rPr>
        <w:t>（五）参加政府采购活动前三年内，在经营活动中没有重大违法记录。</w:t>
      </w:r>
    </w:p>
    <w:p w14:paraId="54FF4B24" w14:textId="77777777" w:rsidR="007F6CDA" w:rsidRDefault="00535261">
      <w:pPr>
        <w:pStyle w:val="null3"/>
        <w:spacing w:line="360" w:lineRule="auto"/>
        <w:ind w:firstLine="480"/>
        <w:rPr>
          <w:rFonts w:ascii="仿宋" w:eastAsia="仿宋" w:hAnsi="仿宋" w:hint="default"/>
          <w:sz w:val="24"/>
          <w:szCs w:val="24"/>
        </w:rPr>
      </w:pPr>
      <w:r>
        <w:rPr>
          <w:rFonts w:ascii="仿宋" w:eastAsia="仿宋" w:hAnsi="仿宋" w:cs="仿宋_GB2312"/>
          <w:sz w:val="24"/>
          <w:szCs w:val="24"/>
        </w:rPr>
        <w:t>二、落实政府采购政策需满足的资格要求：</w:t>
      </w:r>
    </w:p>
    <w:p w14:paraId="60F289E7" w14:textId="77777777" w:rsidR="007F6CDA" w:rsidRDefault="00535261">
      <w:pPr>
        <w:pStyle w:val="null3"/>
        <w:spacing w:line="360" w:lineRule="auto"/>
        <w:ind w:firstLine="480"/>
        <w:rPr>
          <w:rFonts w:ascii="仿宋" w:eastAsia="仿宋" w:hAnsi="仿宋" w:hint="default"/>
          <w:sz w:val="24"/>
          <w:szCs w:val="24"/>
        </w:rPr>
      </w:pPr>
      <w:r>
        <w:rPr>
          <w:rFonts w:ascii="仿宋" w:eastAsia="仿宋" w:hAnsi="仿宋" w:cs="仿宋_GB2312"/>
          <w:sz w:val="24"/>
          <w:szCs w:val="24"/>
        </w:rPr>
        <w:t>采购包</w:t>
      </w:r>
      <w:r>
        <w:rPr>
          <w:rFonts w:ascii="仿宋" w:eastAsia="仿宋" w:hAnsi="仿宋" w:cs="仿宋_GB2312"/>
          <w:sz w:val="24"/>
          <w:szCs w:val="24"/>
        </w:rPr>
        <w:t>1</w:t>
      </w:r>
      <w:r>
        <w:rPr>
          <w:rFonts w:ascii="仿宋" w:eastAsia="仿宋" w:hAnsi="仿宋" w:cs="仿宋_GB2312"/>
          <w:sz w:val="24"/>
          <w:szCs w:val="24"/>
        </w:rPr>
        <w:t>：无。</w:t>
      </w:r>
    </w:p>
    <w:p w14:paraId="53A15D5A" w14:textId="77777777" w:rsidR="007F6CDA" w:rsidRDefault="00535261">
      <w:pPr>
        <w:pStyle w:val="null3"/>
        <w:spacing w:line="360" w:lineRule="auto"/>
        <w:ind w:firstLine="480"/>
        <w:rPr>
          <w:rFonts w:ascii="仿宋" w:eastAsia="仿宋" w:hAnsi="仿宋" w:hint="default"/>
          <w:sz w:val="24"/>
          <w:szCs w:val="24"/>
        </w:rPr>
      </w:pPr>
      <w:r>
        <w:rPr>
          <w:rFonts w:ascii="仿宋" w:eastAsia="仿宋" w:hAnsi="仿宋" w:cs="仿宋_GB2312"/>
          <w:sz w:val="24"/>
          <w:szCs w:val="24"/>
        </w:rPr>
        <w:t>三、本项目的特定资格要求：</w:t>
      </w:r>
    </w:p>
    <w:p w14:paraId="7E7944C6" w14:textId="77777777" w:rsidR="007F6CDA" w:rsidRDefault="00535261">
      <w:pPr>
        <w:pStyle w:val="ad"/>
        <w:spacing w:line="360" w:lineRule="auto"/>
        <w:ind w:left="360"/>
        <w:rPr>
          <w:rFonts w:ascii="仿宋" w:eastAsia="仿宋" w:hAnsi="仿宋" w:cs="仿宋_GB2312"/>
          <w:color w:val="FF0000"/>
          <w:sz w:val="24"/>
          <w:szCs w:val="24"/>
        </w:rPr>
      </w:pPr>
      <w:r>
        <w:rPr>
          <w:rFonts w:ascii="仿宋" w:eastAsia="仿宋" w:hAnsi="仿宋" w:cs="仿宋_GB2312"/>
          <w:color w:val="FF0000"/>
          <w:sz w:val="24"/>
          <w:szCs w:val="24"/>
        </w:rPr>
        <w:t>投标人具备公安部第三研究所颁发的《网络安全服务认证证书等级保护测评服务认证》和国家密码管理局颁发的商用密码检测机构资质证书（业务范围：商用密码应用安全性评估）。</w:t>
      </w:r>
    </w:p>
    <w:p w14:paraId="7D0D1CE3" w14:textId="77777777" w:rsidR="007F6CDA" w:rsidRDefault="007F6CDA">
      <w:pPr>
        <w:pStyle w:val="ad"/>
        <w:spacing w:line="360" w:lineRule="auto"/>
        <w:ind w:left="360"/>
        <w:rPr>
          <w:rFonts w:ascii="仿宋" w:eastAsia="仿宋" w:hAnsi="仿宋"/>
          <w:sz w:val="24"/>
          <w:szCs w:val="24"/>
        </w:rPr>
      </w:pPr>
    </w:p>
    <w:p w14:paraId="7B59CE57" w14:textId="77777777" w:rsidR="007F6CDA" w:rsidRDefault="00535261">
      <w:pPr>
        <w:pStyle w:val="null3"/>
        <w:spacing w:line="360" w:lineRule="auto"/>
        <w:jc w:val="center"/>
        <w:outlineLvl w:val="2"/>
        <w:rPr>
          <w:rFonts w:ascii="仿宋" w:eastAsia="仿宋" w:hAnsi="仿宋" w:cs="仿宋_GB2312" w:hint="default"/>
          <w:b/>
          <w:sz w:val="24"/>
          <w:szCs w:val="24"/>
        </w:rPr>
      </w:pPr>
      <w:r>
        <w:rPr>
          <w:rFonts w:ascii="仿宋" w:eastAsia="仿宋" w:hAnsi="仿宋" w:cs="仿宋_GB2312"/>
          <w:b/>
          <w:sz w:val="24"/>
          <w:szCs w:val="24"/>
        </w:rPr>
        <w:t>第二章、技术、服务及其他要求</w:t>
      </w:r>
    </w:p>
    <w:p w14:paraId="096479BB" w14:textId="77777777" w:rsidR="007F6CDA" w:rsidRDefault="00535261">
      <w:pPr>
        <w:pStyle w:val="null3"/>
        <w:spacing w:line="360" w:lineRule="auto"/>
        <w:outlineLvl w:val="2"/>
        <w:rPr>
          <w:rFonts w:ascii="仿宋" w:eastAsia="仿宋" w:hAnsi="仿宋" w:cs="仿宋_GB2312" w:hint="default"/>
          <w:b/>
          <w:sz w:val="24"/>
          <w:szCs w:val="24"/>
        </w:rPr>
      </w:pPr>
      <w:r>
        <w:rPr>
          <w:rFonts w:ascii="仿宋" w:eastAsia="仿宋" w:hAnsi="仿宋" w:cs="仿宋_GB2312"/>
          <w:b/>
          <w:sz w:val="24"/>
          <w:szCs w:val="24"/>
        </w:rPr>
        <w:t>一、项目简介：</w:t>
      </w:r>
    </w:p>
    <w:p w14:paraId="28F37F62" w14:textId="77777777" w:rsidR="007F6CDA" w:rsidRDefault="00535261">
      <w:pPr>
        <w:pStyle w:val="null3"/>
        <w:spacing w:line="360" w:lineRule="auto"/>
        <w:ind w:firstLineChars="200" w:firstLine="480"/>
        <w:rPr>
          <w:rFonts w:ascii="仿宋" w:eastAsia="仿宋" w:hAnsi="仿宋" w:hint="default"/>
          <w:sz w:val="24"/>
          <w:szCs w:val="24"/>
        </w:rPr>
      </w:pPr>
      <w:r>
        <w:rPr>
          <w:rFonts w:ascii="仿宋" w:eastAsia="仿宋" w:hAnsi="仿宋" w:cs="仿宋_GB2312"/>
          <w:sz w:val="24"/>
          <w:szCs w:val="24"/>
        </w:rPr>
        <w:t>为贯彻落实《中华人民共和国网络安全法》《中华人民共和国密码法》《商用密码管理条例》等相关要求，提高信息系统安全防护、商用密码安全应用水平，落实信息安全等级保护工作、商用密码应用安全要求，防范黑客及恶意代码等对信息系统的攻击及侵害，保障信息系统的安全稳定运行，特开展此项目采购。</w:t>
      </w:r>
    </w:p>
    <w:p w14:paraId="101E15AC" w14:textId="77777777" w:rsidR="007F6CDA" w:rsidRDefault="00535261">
      <w:pPr>
        <w:pStyle w:val="null3"/>
        <w:spacing w:line="360" w:lineRule="auto"/>
        <w:outlineLvl w:val="2"/>
        <w:rPr>
          <w:rFonts w:ascii="仿宋" w:eastAsia="仿宋" w:hAnsi="仿宋" w:cs="仿宋_GB2312" w:hint="default"/>
          <w:b/>
          <w:sz w:val="24"/>
          <w:szCs w:val="24"/>
        </w:rPr>
      </w:pPr>
      <w:r>
        <w:rPr>
          <w:rFonts w:ascii="仿宋" w:eastAsia="仿宋" w:hAnsi="仿宋" w:cs="仿宋_GB2312"/>
          <w:b/>
          <w:sz w:val="24"/>
          <w:szCs w:val="24"/>
        </w:rPr>
        <w:t>二、技术要求</w:t>
      </w:r>
    </w:p>
    <w:p w14:paraId="298565BF" w14:textId="77777777" w:rsidR="007F6CDA" w:rsidRDefault="00535261">
      <w:pPr>
        <w:pStyle w:val="2"/>
        <w:rPr>
          <w:rFonts w:ascii="仿宋" w:eastAsia="仿宋" w:hAnsi="仿宋"/>
          <w:b/>
          <w:bCs/>
          <w:color w:val="auto"/>
          <w:sz w:val="24"/>
          <w:szCs w:val="24"/>
        </w:rPr>
      </w:pPr>
      <w:r>
        <w:rPr>
          <w:rFonts w:ascii="仿宋" w:eastAsia="仿宋" w:hAnsi="仿宋" w:hint="eastAsia"/>
          <w:b/>
          <w:bCs/>
          <w:color w:val="auto"/>
          <w:sz w:val="24"/>
          <w:szCs w:val="24"/>
        </w:rPr>
        <w:t>（一）</w:t>
      </w:r>
      <w:r>
        <w:rPr>
          <w:rFonts w:ascii="仿宋" w:eastAsia="仿宋" w:hAnsi="仿宋"/>
          <w:b/>
          <w:bCs/>
          <w:color w:val="auto"/>
          <w:sz w:val="24"/>
          <w:szCs w:val="24"/>
        </w:rPr>
        <w:t>测评内容：</w:t>
      </w:r>
    </w:p>
    <w:p w14:paraId="7D9D0DF9" w14:textId="77777777" w:rsidR="007F6CDA" w:rsidRDefault="00535261">
      <w:pPr>
        <w:spacing w:line="360" w:lineRule="auto"/>
        <w:ind w:firstLineChars="200" w:firstLine="482"/>
        <w:jc w:val="left"/>
        <w:rPr>
          <w:rFonts w:ascii="仿宋" w:eastAsia="仿宋" w:hAnsi="仿宋"/>
          <w:sz w:val="24"/>
          <w:szCs w:val="24"/>
        </w:rPr>
      </w:pPr>
      <w:r>
        <w:rPr>
          <w:rFonts w:ascii="仿宋" w:eastAsia="仿宋" w:hAnsi="仿宋" w:hint="eastAsia"/>
          <w:b/>
          <w:bCs/>
          <w:sz w:val="24"/>
          <w:szCs w:val="24"/>
        </w:rPr>
        <w:t>等级保护测评服务：</w:t>
      </w:r>
      <w:r>
        <w:rPr>
          <w:rFonts w:ascii="仿宋" w:eastAsia="仿宋" w:hAnsi="仿宋"/>
          <w:sz w:val="24"/>
          <w:szCs w:val="24"/>
        </w:rPr>
        <w:t>包括技术和管理测评。技术安全性测评包括但不限于：安全物理环境、安全通信网络、安全区域边界、安全计算环境、安全管理中心</w:t>
      </w:r>
      <w:r>
        <w:rPr>
          <w:rFonts w:ascii="仿宋" w:eastAsia="仿宋" w:hAnsi="仿宋" w:hint="eastAsia"/>
          <w:sz w:val="24"/>
          <w:szCs w:val="24"/>
        </w:rPr>
        <w:t>的安全测评</w:t>
      </w:r>
      <w:r>
        <w:rPr>
          <w:rFonts w:ascii="仿宋" w:eastAsia="仿宋" w:hAnsi="仿宋"/>
          <w:sz w:val="24"/>
          <w:szCs w:val="24"/>
        </w:rPr>
        <w:t>；管理安全测评包括但不限于：安全管理制度、安全管理机构、安</w:t>
      </w:r>
      <w:r>
        <w:rPr>
          <w:rFonts w:ascii="仿宋" w:eastAsia="仿宋" w:hAnsi="仿宋"/>
          <w:sz w:val="24"/>
          <w:szCs w:val="24"/>
        </w:rPr>
        <w:t>全管理人员、安全建设管理、</w:t>
      </w:r>
      <w:proofErr w:type="gramStart"/>
      <w:r>
        <w:rPr>
          <w:rFonts w:ascii="仿宋" w:eastAsia="仿宋" w:hAnsi="仿宋"/>
          <w:sz w:val="24"/>
          <w:szCs w:val="24"/>
        </w:rPr>
        <w:t>安全运维管理</w:t>
      </w:r>
      <w:proofErr w:type="gramEnd"/>
      <w:r>
        <w:rPr>
          <w:rFonts w:ascii="仿宋" w:eastAsia="仿宋" w:hAnsi="仿宋" w:hint="eastAsia"/>
          <w:sz w:val="24"/>
          <w:szCs w:val="24"/>
        </w:rPr>
        <w:t>的安全测评</w:t>
      </w:r>
      <w:r>
        <w:rPr>
          <w:rFonts w:ascii="仿宋" w:eastAsia="仿宋" w:hAnsi="仿宋"/>
          <w:sz w:val="24"/>
          <w:szCs w:val="24"/>
        </w:rPr>
        <w:t>。</w:t>
      </w:r>
    </w:p>
    <w:p w14:paraId="0D2E1580" w14:textId="77777777" w:rsidR="007F6CDA" w:rsidRDefault="00535261">
      <w:pPr>
        <w:pStyle w:val="a5"/>
        <w:spacing w:line="360" w:lineRule="auto"/>
        <w:ind w:firstLineChars="200" w:firstLine="482"/>
        <w:jc w:val="left"/>
        <w:rPr>
          <w:rFonts w:ascii="仿宋" w:eastAsia="仿宋" w:hAnsi="仿宋"/>
          <w:sz w:val="24"/>
          <w:szCs w:val="24"/>
        </w:rPr>
      </w:pPr>
      <w:r>
        <w:rPr>
          <w:rFonts w:ascii="仿宋" w:eastAsia="仿宋" w:hAnsi="仿宋" w:hint="eastAsia"/>
          <w:b/>
          <w:bCs/>
          <w:sz w:val="24"/>
          <w:szCs w:val="24"/>
        </w:rPr>
        <w:lastRenderedPageBreak/>
        <w:t>商用密码应用安全性评估：</w:t>
      </w:r>
      <w:r>
        <w:rPr>
          <w:rFonts w:ascii="仿宋" w:eastAsia="仿宋" w:hAnsi="仿宋" w:hint="eastAsia"/>
          <w:sz w:val="24"/>
          <w:szCs w:val="24"/>
        </w:rPr>
        <w:t>从物理和环境安全、网络和通信安全、设备和计算安全、应用和数据安全、管理制度、人员管理、建设运行和应急处置等方面进行商用密码应用安全性评估。包括：核查信息系统中使用的密码算法、密码技术、密码产品、密码服务和密钥管理是否满足国家密码管理的相关标准规范要求；物理和环境安全测评、网络和通信安全测评、设备和计算安全测评、应用和数据安全测评，验证信息系统的密码应用是否达到相应安全等级的保护要求。</w:t>
      </w:r>
    </w:p>
    <w:p w14:paraId="52A90944" w14:textId="77777777" w:rsidR="007F6CDA" w:rsidRDefault="00535261">
      <w:pPr>
        <w:pStyle w:val="2"/>
        <w:rPr>
          <w:rFonts w:ascii="仿宋" w:eastAsia="仿宋" w:hAnsi="仿宋"/>
          <w:b/>
          <w:bCs/>
          <w:color w:val="auto"/>
          <w:sz w:val="24"/>
          <w:szCs w:val="24"/>
        </w:rPr>
      </w:pPr>
      <w:r>
        <w:rPr>
          <w:rFonts w:ascii="仿宋" w:eastAsia="仿宋" w:hAnsi="仿宋" w:hint="eastAsia"/>
          <w:b/>
          <w:bCs/>
          <w:color w:val="auto"/>
          <w:sz w:val="24"/>
          <w:szCs w:val="24"/>
        </w:rPr>
        <w:t>等级保护</w:t>
      </w:r>
      <w:r>
        <w:rPr>
          <w:rFonts w:ascii="仿宋" w:eastAsia="仿宋" w:hAnsi="仿宋"/>
          <w:b/>
          <w:bCs/>
          <w:color w:val="auto"/>
          <w:sz w:val="24"/>
          <w:szCs w:val="24"/>
        </w:rPr>
        <w:t>测评</w:t>
      </w:r>
      <w:r>
        <w:rPr>
          <w:rFonts w:ascii="仿宋" w:eastAsia="仿宋" w:hAnsi="仿宋" w:hint="eastAsia"/>
          <w:b/>
          <w:bCs/>
          <w:color w:val="auto"/>
          <w:sz w:val="24"/>
          <w:szCs w:val="24"/>
        </w:rPr>
        <w:t>和密码测评</w:t>
      </w:r>
      <w:r>
        <w:rPr>
          <w:rFonts w:ascii="仿宋" w:eastAsia="仿宋" w:hAnsi="仿宋"/>
          <w:b/>
          <w:bCs/>
          <w:color w:val="auto"/>
          <w:sz w:val="24"/>
          <w:szCs w:val="24"/>
        </w:rPr>
        <w:t>对象及范围包括以下内容：</w:t>
      </w:r>
    </w:p>
    <w:tbl>
      <w:tblPr>
        <w:tblW w:w="8130" w:type="dxa"/>
        <w:jc w:val="center"/>
        <w:tblLook w:val="04A0" w:firstRow="1" w:lastRow="0" w:firstColumn="1" w:lastColumn="0" w:noHBand="0" w:noVBand="1"/>
      </w:tblPr>
      <w:tblGrid>
        <w:gridCol w:w="886"/>
        <w:gridCol w:w="5205"/>
        <w:gridCol w:w="2039"/>
      </w:tblGrid>
      <w:tr w:rsidR="007F6CDA" w14:paraId="731DB39F" w14:textId="77777777">
        <w:trPr>
          <w:trHeight w:val="949"/>
          <w:jc w:val="center"/>
        </w:trPr>
        <w:tc>
          <w:tcPr>
            <w:tcW w:w="886" w:type="dxa"/>
            <w:tcBorders>
              <w:top w:val="single" w:sz="4" w:space="0" w:color="auto"/>
              <w:left w:val="single" w:sz="4" w:space="0" w:color="auto"/>
              <w:bottom w:val="single" w:sz="4" w:space="0" w:color="auto"/>
              <w:right w:val="single" w:sz="4" w:space="0" w:color="auto"/>
            </w:tcBorders>
            <w:noWrap/>
            <w:vAlign w:val="center"/>
          </w:tcPr>
          <w:p w14:paraId="4D963E11" w14:textId="77777777" w:rsidR="007F6CDA" w:rsidRDefault="00535261">
            <w:pPr>
              <w:spacing w:line="360" w:lineRule="auto"/>
              <w:jc w:val="left"/>
              <w:rPr>
                <w:rFonts w:ascii="仿宋" w:eastAsia="仿宋" w:hAnsi="仿宋"/>
                <w:b/>
                <w:bCs/>
                <w:color w:val="000000"/>
                <w:sz w:val="24"/>
                <w:szCs w:val="24"/>
                <w:lang w:bidi="ar"/>
              </w:rPr>
            </w:pPr>
            <w:r>
              <w:rPr>
                <w:rFonts w:ascii="仿宋" w:eastAsia="仿宋" w:hAnsi="仿宋"/>
                <w:b/>
                <w:bCs/>
                <w:color w:val="000000"/>
                <w:sz w:val="24"/>
                <w:szCs w:val="24"/>
                <w:lang w:bidi="ar"/>
              </w:rPr>
              <w:t>序号</w:t>
            </w:r>
          </w:p>
        </w:tc>
        <w:tc>
          <w:tcPr>
            <w:tcW w:w="5205" w:type="dxa"/>
            <w:tcBorders>
              <w:top w:val="single" w:sz="4" w:space="0" w:color="auto"/>
              <w:left w:val="nil"/>
              <w:bottom w:val="single" w:sz="4" w:space="0" w:color="auto"/>
              <w:right w:val="single" w:sz="4" w:space="0" w:color="auto"/>
            </w:tcBorders>
            <w:noWrap/>
            <w:vAlign w:val="center"/>
          </w:tcPr>
          <w:p w14:paraId="17D7EA85" w14:textId="77777777" w:rsidR="007F6CDA" w:rsidRDefault="00535261">
            <w:pPr>
              <w:spacing w:line="360" w:lineRule="auto"/>
              <w:jc w:val="left"/>
              <w:rPr>
                <w:rFonts w:ascii="仿宋" w:eastAsia="仿宋" w:hAnsi="仿宋"/>
                <w:b/>
                <w:bCs/>
                <w:color w:val="000000"/>
                <w:sz w:val="24"/>
                <w:szCs w:val="24"/>
                <w:lang w:bidi="ar"/>
              </w:rPr>
            </w:pPr>
            <w:r>
              <w:rPr>
                <w:rFonts w:ascii="仿宋" w:eastAsia="仿宋" w:hAnsi="仿宋"/>
                <w:b/>
                <w:bCs/>
                <w:color w:val="000000"/>
                <w:sz w:val="24"/>
                <w:szCs w:val="24"/>
                <w:lang w:bidi="ar"/>
              </w:rPr>
              <w:t>系统名称</w:t>
            </w:r>
          </w:p>
        </w:tc>
        <w:tc>
          <w:tcPr>
            <w:tcW w:w="2039" w:type="dxa"/>
            <w:tcBorders>
              <w:top w:val="single" w:sz="4" w:space="0" w:color="auto"/>
              <w:left w:val="nil"/>
              <w:bottom w:val="single" w:sz="4" w:space="0" w:color="auto"/>
              <w:right w:val="single" w:sz="4" w:space="0" w:color="auto"/>
            </w:tcBorders>
            <w:noWrap/>
            <w:vAlign w:val="center"/>
          </w:tcPr>
          <w:p w14:paraId="514CA9B6" w14:textId="77777777" w:rsidR="007F6CDA" w:rsidRDefault="00535261">
            <w:pPr>
              <w:spacing w:line="360" w:lineRule="auto"/>
              <w:jc w:val="left"/>
              <w:rPr>
                <w:rFonts w:ascii="仿宋" w:eastAsia="仿宋" w:hAnsi="仿宋"/>
                <w:b/>
                <w:bCs/>
                <w:color w:val="000000"/>
                <w:sz w:val="24"/>
                <w:szCs w:val="24"/>
                <w:lang w:bidi="ar"/>
              </w:rPr>
            </w:pPr>
            <w:r>
              <w:rPr>
                <w:rFonts w:ascii="仿宋" w:eastAsia="仿宋" w:hAnsi="仿宋"/>
                <w:b/>
                <w:bCs/>
                <w:color w:val="000000"/>
                <w:sz w:val="24"/>
                <w:szCs w:val="24"/>
                <w:lang w:bidi="ar"/>
              </w:rPr>
              <w:t>安全保护</w:t>
            </w:r>
          </w:p>
          <w:p w14:paraId="05178A35" w14:textId="77777777" w:rsidR="007F6CDA" w:rsidRDefault="00535261">
            <w:pPr>
              <w:spacing w:line="360" w:lineRule="auto"/>
              <w:jc w:val="left"/>
              <w:rPr>
                <w:rFonts w:ascii="仿宋" w:eastAsia="仿宋" w:hAnsi="仿宋"/>
                <w:b/>
                <w:bCs/>
                <w:color w:val="000000"/>
                <w:sz w:val="24"/>
                <w:szCs w:val="24"/>
                <w:lang w:bidi="ar"/>
              </w:rPr>
            </w:pPr>
            <w:r>
              <w:rPr>
                <w:rFonts w:ascii="仿宋" w:eastAsia="仿宋" w:hAnsi="仿宋"/>
                <w:b/>
                <w:bCs/>
                <w:color w:val="000000"/>
                <w:sz w:val="24"/>
                <w:szCs w:val="24"/>
                <w:lang w:bidi="ar"/>
              </w:rPr>
              <w:t>等级</w:t>
            </w:r>
          </w:p>
        </w:tc>
      </w:tr>
      <w:tr w:rsidR="00BA5E21" w14:paraId="32C6F663" w14:textId="77777777" w:rsidTr="00902313">
        <w:trPr>
          <w:trHeight w:val="489"/>
          <w:jc w:val="center"/>
        </w:trPr>
        <w:tc>
          <w:tcPr>
            <w:tcW w:w="886" w:type="dxa"/>
            <w:tcBorders>
              <w:top w:val="single" w:sz="4" w:space="0" w:color="auto"/>
              <w:left w:val="single" w:sz="4" w:space="0" w:color="auto"/>
              <w:bottom w:val="single" w:sz="4" w:space="0" w:color="auto"/>
              <w:right w:val="single" w:sz="4" w:space="0" w:color="auto"/>
            </w:tcBorders>
            <w:noWrap/>
            <w:vAlign w:val="center"/>
          </w:tcPr>
          <w:p w14:paraId="14CA337E" w14:textId="77777777" w:rsidR="00BA5E21" w:rsidRPr="00BA5E21" w:rsidRDefault="00BA5E21" w:rsidP="00902313">
            <w:pPr>
              <w:spacing w:line="360" w:lineRule="auto"/>
              <w:jc w:val="left"/>
              <w:rPr>
                <w:rFonts w:ascii="仿宋" w:eastAsia="仿宋" w:hAnsi="仿宋"/>
                <w:sz w:val="24"/>
                <w:szCs w:val="24"/>
              </w:rPr>
            </w:pPr>
            <w:r w:rsidRPr="00BA5E21">
              <w:rPr>
                <w:rFonts w:ascii="仿宋" w:eastAsia="仿宋" w:hAnsi="仿宋"/>
                <w:sz w:val="24"/>
                <w:szCs w:val="24"/>
              </w:rPr>
              <w:t>1</w:t>
            </w:r>
          </w:p>
        </w:tc>
        <w:tc>
          <w:tcPr>
            <w:tcW w:w="5205" w:type="dxa"/>
            <w:tcBorders>
              <w:top w:val="single" w:sz="4" w:space="0" w:color="auto"/>
              <w:left w:val="nil"/>
              <w:bottom w:val="single" w:sz="4" w:space="0" w:color="auto"/>
              <w:right w:val="single" w:sz="4" w:space="0" w:color="auto"/>
            </w:tcBorders>
            <w:noWrap/>
            <w:vAlign w:val="center"/>
          </w:tcPr>
          <w:p w14:paraId="2C26356D" w14:textId="3D99266B" w:rsidR="00BA5E21" w:rsidRPr="00BA5E21" w:rsidRDefault="00BA5E21" w:rsidP="00902313">
            <w:pPr>
              <w:spacing w:line="360" w:lineRule="auto"/>
              <w:jc w:val="left"/>
              <w:rPr>
                <w:rFonts w:ascii="仿宋" w:eastAsia="仿宋" w:hAnsi="仿宋"/>
                <w:sz w:val="24"/>
                <w:szCs w:val="24"/>
              </w:rPr>
            </w:pPr>
            <w:r w:rsidRPr="00BA5E21">
              <w:rPr>
                <w:rFonts w:ascii="仿宋" w:eastAsia="仿宋" w:hAnsi="仿宋"/>
                <w:sz w:val="24"/>
                <w:szCs w:val="24"/>
              </w:rPr>
              <w:t>OA</w:t>
            </w:r>
            <w:r w:rsidRPr="00BA5E21">
              <w:rPr>
                <w:rFonts w:ascii="仿宋" w:eastAsia="仿宋" w:hAnsi="仿宋" w:hint="eastAsia"/>
                <w:sz w:val="24"/>
                <w:szCs w:val="24"/>
              </w:rPr>
              <w:t>办公系统</w:t>
            </w:r>
            <w:r>
              <w:rPr>
                <w:rFonts w:ascii="仿宋" w:eastAsia="仿宋" w:hAnsi="仿宋" w:hint="eastAsia"/>
                <w:sz w:val="24"/>
                <w:szCs w:val="24"/>
              </w:rPr>
              <w:t>（等保）</w:t>
            </w:r>
          </w:p>
        </w:tc>
        <w:tc>
          <w:tcPr>
            <w:tcW w:w="2039" w:type="dxa"/>
            <w:tcBorders>
              <w:top w:val="single" w:sz="4" w:space="0" w:color="auto"/>
              <w:left w:val="nil"/>
              <w:bottom w:val="single" w:sz="4" w:space="0" w:color="auto"/>
              <w:right w:val="single" w:sz="4" w:space="0" w:color="auto"/>
            </w:tcBorders>
            <w:noWrap/>
            <w:vAlign w:val="center"/>
          </w:tcPr>
          <w:p w14:paraId="50DC6978" w14:textId="77777777" w:rsidR="00BA5E21" w:rsidRPr="00BA5E21" w:rsidRDefault="00BA5E21" w:rsidP="00902313">
            <w:pPr>
              <w:spacing w:line="360" w:lineRule="auto"/>
              <w:jc w:val="left"/>
              <w:rPr>
                <w:rFonts w:ascii="仿宋" w:eastAsia="仿宋" w:hAnsi="仿宋"/>
                <w:sz w:val="24"/>
                <w:szCs w:val="24"/>
              </w:rPr>
            </w:pPr>
            <w:r w:rsidRPr="00BA5E21">
              <w:rPr>
                <w:rFonts w:ascii="仿宋" w:eastAsia="仿宋" w:hAnsi="仿宋" w:hint="eastAsia"/>
                <w:sz w:val="24"/>
                <w:szCs w:val="24"/>
              </w:rPr>
              <w:t>三级</w:t>
            </w:r>
          </w:p>
        </w:tc>
      </w:tr>
      <w:tr w:rsidR="00BA5E21" w14:paraId="2AFBFE65" w14:textId="77777777" w:rsidTr="00902313">
        <w:trPr>
          <w:trHeight w:val="489"/>
          <w:jc w:val="center"/>
        </w:trPr>
        <w:tc>
          <w:tcPr>
            <w:tcW w:w="886" w:type="dxa"/>
            <w:tcBorders>
              <w:top w:val="nil"/>
              <w:left w:val="single" w:sz="4" w:space="0" w:color="auto"/>
              <w:bottom w:val="single" w:sz="4" w:space="0" w:color="auto"/>
              <w:right w:val="single" w:sz="4" w:space="0" w:color="auto"/>
            </w:tcBorders>
            <w:noWrap/>
            <w:vAlign w:val="center"/>
          </w:tcPr>
          <w:p w14:paraId="15E70CFC" w14:textId="77777777" w:rsidR="00BA5E21" w:rsidRDefault="00BA5E21" w:rsidP="00902313">
            <w:pPr>
              <w:spacing w:line="360" w:lineRule="auto"/>
              <w:jc w:val="left"/>
              <w:rPr>
                <w:rFonts w:ascii="仿宋" w:eastAsia="仿宋" w:hAnsi="仿宋"/>
                <w:sz w:val="24"/>
                <w:szCs w:val="24"/>
              </w:rPr>
            </w:pPr>
            <w:r>
              <w:rPr>
                <w:rFonts w:ascii="仿宋" w:eastAsia="仿宋" w:hAnsi="仿宋"/>
                <w:sz w:val="24"/>
                <w:szCs w:val="24"/>
              </w:rPr>
              <w:t>2</w:t>
            </w:r>
          </w:p>
        </w:tc>
        <w:tc>
          <w:tcPr>
            <w:tcW w:w="5205" w:type="dxa"/>
            <w:tcBorders>
              <w:top w:val="nil"/>
              <w:left w:val="nil"/>
              <w:bottom w:val="single" w:sz="4" w:space="0" w:color="auto"/>
              <w:right w:val="single" w:sz="4" w:space="0" w:color="auto"/>
            </w:tcBorders>
            <w:noWrap/>
            <w:vAlign w:val="center"/>
          </w:tcPr>
          <w:p w14:paraId="5BE9CAEE" w14:textId="2107DEC4" w:rsidR="00BA5E21" w:rsidRDefault="00BA5E21" w:rsidP="00902313">
            <w:pPr>
              <w:spacing w:line="360" w:lineRule="auto"/>
              <w:jc w:val="left"/>
              <w:rPr>
                <w:rFonts w:ascii="仿宋" w:eastAsia="仿宋" w:hAnsi="仿宋"/>
                <w:sz w:val="24"/>
                <w:szCs w:val="24"/>
              </w:rPr>
            </w:pPr>
            <w:r w:rsidRPr="001275A8">
              <w:rPr>
                <w:rFonts w:ascii="仿宋" w:eastAsia="仿宋" w:hAnsi="仿宋" w:hint="eastAsia"/>
                <w:sz w:val="24"/>
                <w:szCs w:val="24"/>
              </w:rPr>
              <w:t>校园信息门户平台</w:t>
            </w:r>
            <w:r>
              <w:rPr>
                <w:rFonts w:ascii="仿宋" w:eastAsia="仿宋" w:hAnsi="仿宋" w:hint="eastAsia"/>
                <w:sz w:val="24"/>
                <w:szCs w:val="24"/>
              </w:rPr>
              <w:t>（等保）</w:t>
            </w:r>
          </w:p>
        </w:tc>
        <w:tc>
          <w:tcPr>
            <w:tcW w:w="2039" w:type="dxa"/>
            <w:tcBorders>
              <w:top w:val="nil"/>
              <w:left w:val="nil"/>
              <w:bottom w:val="single" w:sz="4" w:space="0" w:color="auto"/>
              <w:right w:val="single" w:sz="4" w:space="0" w:color="auto"/>
            </w:tcBorders>
            <w:noWrap/>
            <w:vAlign w:val="center"/>
          </w:tcPr>
          <w:p w14:paraId="331AECD2" w14:textId="77777777" w:rsidR="00BA5E21" w:rsidRDefault="00BA5E21" w:rsidP="00902313">
            <w:pPr>
              <w:spacing w:line="360" w:lineRule="auto"/>
              <w:jc w:val="left"/>
              <w:rPr>
                <w:rFonts w:ascii="仿宋" w:eastAsia="仿宋" w:hAnsi="仿宋"/>
                <w:sz w:val="24"/>
                <w:szCs w:val="24"/>
              </w:rPr>
            </w:pPr>
            <w:r>
              <w:rPr>
                <w:rFonts w:ascii="仿宋" w:eastAsia="仿宋" w:hAnsi="仿宋" w:hint="eastAsia"/>
                <w:sz w:val="24"/>
                <w:szCs w:val="24"/>
              </w:rPr>
              <w:t>二级</w:t>
            </w:r>
          </w:p>
        </w:tc>
      </w:tr>
      <w:tr w:rsidR="00BA5E21" w14:paraId="1E7A7327" w14:textId="77777777" w:rsidTr="00902313">
        <w:trPr>
          <w:trHeight w:val="489"/>
          <w:jc w:val="center"/>
        </w:trPr>
        <w:tc>
          <w:tcPr>
            <w:tcW w:w="886" w:type="dxa"/>
            <w:tcBorders>
              <w:top w:val="nil"/>
              <w:left w:val="single" w:sz="4" w:space="0" w:color="auto"/>
              <w:bottom w:val="single" w:sz="4" w:space="0" w:color="auto"/>
              <w:right w:val="single" w:sz="4" w:space="0" w:color="auto"/>
            </w:tcBorders>
            <w:noWrap/>
            <w:vAlign w:val="center"/>
          </w:tcPr>
          <w:p w14:paraId="205B34D2" w14:textId="77777777" w:rsidR="00BA5E21" w:rsidRDefault="00BA5E21" w:rsidP="00902313">
            <w:pPr>
              <w:spacing w:line="360" w:lineRule="auto"/>
              <w:jc w:val="left"/>
              <w:rPr>
                <w:rFonts w:ascii="仿宋" w:eastAsia="仿宋" w:hAnsi="仿宋"/>
                <w:sz w:val="24"/>
                <w:szCs w:val="24"/>
              </w:rPr>
            </w:pPr>
            <w:r>
              <w:rPr>
                <w:rFonts w:ascii="仿宋" w:eastAsia="仿宋" w:hAnsi="仿宋"/>
                <w:sz w:val="24"/>
                <w:szCs w:val="24"/>
              </w:rPr>
              <w:t>3</w:t>
            </w:r>
          </w:p>
        </w:tc>
        <w:tc>
          <w:tcPr>
            <w:tcW w:w="5205" w:type="dxa"/>
            <w:tcBorders>
              <w:top w:val="nil"/>
              <w:left w:val="nil"/>
              <w:bottom w:val="single" w:sz="4" w:space="0" w:color="auto"/>
              <w:right w:val="single" w:sz="4" w:space="0" w:color="auto"/>
            </w:tcBorders>
            <w:noWrap/>
            <w:vAlign w:val="center"/>
          </w:tcPr>
          <w:p w14:paraId="660624BE" w14:textId="46947D94" w:rsidR="00BA5E21" w:rsidRDefault="00BA5E21" w:rsidP="00902313">
            <w:pPr>
              <w:spacing w:line="360" w:lineRule="auto"/>
              <w:jc w:val="left"/>
              <w:rPr>
                <w:rFonts w:ascii="仿宋" w:eastAsia="仿宋" w:hAnsi="仿宋"/>
                <w:sz w:val="24"/>
                <w:szCs w:val="24"/>
              </w:rPr>
            </w:pPr>
            <w:r w:rsidRPr="001275A8">
              <w:rPr>
                <w:rFonts w:ascii="仿宋" w:eastAsia="仿宋" w:hAnsi="仿宋" w:hint="eastAsia"/>
                <w:sz w:val="24"/>
                <w:szCs w:val="24"/>
              </w:rPr>
              <w:t>学生事务平台</w:t>
            </w:r>
            <w:r>
              <w:rPr>
                <w:rFonts w:ascii="仿宋" w:eastAsia="仿宋" w:hAnsi="仿宋" w:hint="eastAsia"/>
                <w:sz w:val="24"/>
                <w:szCs w:val="24"/>
              </w:rPr>
              <w:t>（等保）</w:t>
            </w:r>
          </w:p>
        </w:tc>
        <w:tc>
          <w:tcPr>
            <w:tcW w:w="2039" w:type="dxa"/>
            <w:tcBorders>
              <w:top w:val="nil"/>
              <w:left w:val="nil"/>
              <w:bottom w:val="single" w:sz="4" w:space="0" w:color="auto"/>
              <w:right w:val="single" w:sz="4" w:space="0" w:color="auto"/>
            </w:tcBorders>
            <w:noWrap/>
            <w:vAlign w:val="center"/>
          </w:tcPr>
          <w:p w14:paraId="14BC7FAB" w14:textId="77777777" w:rsidR="00BA5E21" w:rsidRDefault="00BA5E21" w:rsidP="00902313">
            <w:pPr>
              <w:spacing w:line="360" w:lineRule="auto"/>
              <w:jc w:val="left"/>
              <w:rPr>
                <w:rFonts w:ascii="仿宋" w:eastAsia="仿宋" w:hAnsi="仿宋"/>
                <w:sz w:val="24"/>
                <w:szCs w:val="24"/>
              </w:rPr>
            </w:pPr>
            <w:r>
              <w:rPr>
                <w:rFonts w:ascii="仿宋" w:eastAsia="仿宋" w:hAnsi="仿宋" w:hint="eastAsia"/>
                <w:sz w:val="24"/>
                <w:szCs w:val="24"/>
              </w:rPr>
              <w:t>二级</w:t>
            </w:r>
          </w:p>
        </w:tc>
      </w:tr>
      <w:tr w:rsidR="00BA5E21" w14:paraId="0EBFFDA3" w14:textId="77777777" w:rsidTr="00902313">
        <w:trPr>
          <w:trHeight w:val="489"/>
          <w:jc w:val="center"/>
        </w:trPr>
        <w:tc>
          <w:tcPr>
            <w:tcW w:w="886" w:type="dxa"/>
            <w:tcBorders>
              <w:top w:val="nil"/>
              <w:left w:val="single" w:sz="4" w:space="0" w:color="auto"/>
              <w:bottom w:val="single" w:sz="4" w:space="0" w:color="auto"/>
              <w:right w:val="single" w:sz="4" w:space="0" w:color="auto"/>
            </w:tcBorders>
            <w:noWrap/>
            <w:vAlign w:val="center"/>
          </w:tcPr>
          <w:p w14:paraId="5AA06334" w14:textId="77777777" w:rsidR="00BA5E21" w:rsidRDefault="00BA5E21" w:rsidP="00902313">
            <w:pPr>
              <w:spacing w:line="360" w:lineRule="auto"/>
              <w:jc w:val="left"/>
              <w:rPr>
                <w:rFonts w:ascii="仿宋" w:eastAsia="仿宋" w:hAnsi="仿宋"/>
                <w:sz w:val="24"/>
                <w:szCs w:val="24"/>
              </w:rPr>
            </w:pPr>
            <w:r>
              <w:rPr>
                <w:rFonts w:ascii="仿宋" w:eastAsia="仿宋" w:hAnsi="仿宋"/>
                <w:sz w:val="24"/>
                <w:szCs w:val="24"/>
              </w:rPr>
              <w:t>4</w:t>
            </w:r>
          </w:p>
        </w:tc>
        <w:tc>
          <w:tcPr>
            <w:tcW w:w="5205" w:type="dxa"/>
            <w:tcBorders>
              <w:top w:val="nil"/>
              <w:left w:val="nil"/>
              <w:bottom w:val="single" w:sz="4" w:space="0" w:color="auto"/>
              <w:right w:val="single" w:sz="4" w:space="0" w:color="auto"/>
            </w:tcBorders>
            <w:noWrap/>
            <w:vAlign w:val="center"/>
          </w:tcPr>
          <w:p w14:paraId="560A9908" w14:textId="7D0630B9" w:rsidR="00BA5E21" w:rsidRDefault="00BA5E21" w:rsidP="00902313">
            <w:pPr>
              <w:spacing w:line="360" w:lineRule="auto"/>
              <w:jc w:val="left"/>
              <w:rPr>
                <w:rFonts w:ascii="仿宋" w:eastAsia="仿宋" w:hAnsi="仿宋"/>
                <w:sz w:val="24"/>
                <w:szCs w:val="24"/>
              </w:rPr>
            </w:pPr>
            <w:r>
              <w:rPr>
                <w:rFonts w:ascii="仿宋" w:eastAsia="仿宋" w:hAnsi="仿宋" w:hint="eastAsia"/>
                <w:sz w:val="24"/>
                <w:szCs w:val="24"/>
              </w:rPr>
              <w:t>站群系统</w:t>
            </w:r>
            <w:r>
              <w:rPr>
                <w:rFonts w:ascii="仿宋" w:eastAsia="仿宋" w:hAnsi="仿宋" w:hint="eastAsia"/>
                <w:sz w:val="24"/>
                <w:szCs w:val="24"/>
              </w:rPr>
              <w:t>（密评）</w:t>
            </w:r>
          </w:p>
        </w:tc>
        <w:tc>
          <w:tcPr>
            <w:tcW w:w="2039" w:type="dxa"/>
            <w:tcBorders>
              <w:top w:val="nil"/>
              <w:left w:val="nil"/>
              <w:bottom w:val="single" w:sz="4" w:space="0" w:color="auto"/>
              <w:right w:val="single" w:sz="4" w:space="0" w:color="auto"/>
            </w:tcBorders>
            <w:noWrap/>
            <w:vAlign w:val="center"/>
          </w:tcPr>
          <w:p w14:paraId="6F9DAB42" w14:textId="77777777" w:rsidR="00BA5E21" w:rsidRDefault="00BA5E21" w:rsidP="00902313">
            <w:pPr>
              <w:spacing w:line="360" w:lineRule="auto"/>
              <w:jc w:val="left"/>
              <w:rPr>
                <w:rFonts w:ascii="仿宋" w:eastAsia="仿宋" w:hAnsi="仿宋"/>
                <w:sz w:val="24"/>
                <w:szCs w:val="24"/>
              </w:rPr>
            </w:pPr>
            <w:r>
              <w:rPr>
                <w:rFonts w:ascii="仿宋" w:eastAsia="仿宋" w:hAnsi="仿宋" w:hint="eastAsia"/>
                <w:sz w:val="24"/>
                <w:szCs w:val="24"/>
              </w:rPr>
              <w:t>三级</w:t>
            </w:r>
          </w:p>
        </w:tc>
      </w:tr>
    </w:tbl>
    <w:p w14:paraId="6ACD7549" w14:textId="2F7DA5D1" w:rsidR="000E5D5D" w:rsidRPr="00EC1CFF" w:rsidRDefault="000E5D5D">
      <w:pPr>
        <w:pStyle w:val="2"/>
        <w:rPr>
          <w:rFonts w:ascii="仿宋" w:eastAsia="仿宋" w:hAnsi="仿宋" w:cs="仿宋_GB2312"/>
          <w:b/>
          <w:bCs/>
          <w:color w:val="auto"/>
          <w:kern w:val="0"/>
          <w:sz w:val="24"/>
          <w:szCs w:val="24"/>
          <w:lang w:eastAsia="zh-Hans"/>
        </w:rPr>
      </w:pPr>
      <w:r w:rsidRPr="00EC1CFF">
        <w:rPr>
          <w:rFonts w:ascii="仿宋" w:eastAsia="仿宋" w:hAnsi="仿宋" w:cs="仿宋_GB2312" w:hint="eastAsia"/>
          <w:b/>
          <w:bCs/>
          <w:color w:val="auto"/>
          <w:kern w:val="0"/>
          <w:sz w:val="24"/>
          <w:szCs w:val="24"/>
          <w:lang w:eastAsia="zh-Hans"/>
        </w:rPr>
        <w:t>实时</w:t>
      </w:r>
      <w:r w:rsidR="00EC1CFF">
        <w:rPr>
          <w:rFonts w:ascii="仿宋" w:eastAsia="仿宋" w:hAnsi="仿宋" w:cs="仿宋_GB2312" w:hint="eastAsia"/>
          <w:b/>
          <w:bCs/>
          <w:color w:val="auto"/>
          <w:kern w:val="0"/>
          <w:sz w:val="24"/>
          <w:szCs w:val="24"/>
          <w:lang w:eastAsia="zh-Hans"/>
        </w:rPr>
        <w:t>非法跨境</w:t>
      </w:r>
      <w:r w:rsidRPr="00EC1CFF">
        <w:rPr>
          <w:rFonts w:ascii="仿宋" w:eastAsia="仿宋" w:hAnsi="仿宋" w:cs="仿宋_GB2312" w:hint="eastAsia"/>
          <w:b/>
          <w:bCs/>
          <w:color w:val="auto"/>
          <w:kern w:val="0"/>
          <w:sz w:val="24"/>
          <w:szCs w:val="24"/>
          <w:lang w:eastAsia="zh-Hans"/>
        </w:rPr>
        <w:t>上网监测服务</w:t>
      </w:r>
    </w:p>
    <w:p w14:paraId="774F6F6F" w14:textId="77777777" w:rsidR="000E5D5D" w:rsidRPr="005D3FAA" w:rsidRDefault="000E5D5D" w:rsidP="000E5D5D">
      <w:pPr>
        <w:rPr>
          <w:rFonts w:ascii="仿宋" w:eastAsia="仿宋" w:hAnsi="仿宋" w:cs="仿宋_GB2312"/>
          <w:kern w:val="0"/>
          <w:sz w:val="24"/>
          <w:szCs w:val="24"/>
          <w:lang w:eastAsia="zh-Hans"/>
        </w:rPr>
      </w:pPr>
      <w:r w:rsidRPr="005D3FAA">
        <w:rPr>
          <w:rFonts w:ascii="仿宋" w:eastAsia="仿宋" w:hAnsi="仿宋" w:cs="仿宋_GB2312" w:hint="eastAsia"/>
          <w:kern w:val="0"/>
          <w:sz w:val="24"/>
          <w:szCs w:val="24"/>
          <w:lang w:eastAsia="zh-Hans"/>
        </w:rPr>
        <w:t>1.提供流量加密及非加密场景的翻墙上网行为监测服务，无需加载证书，可识别主流翻墙工具（如 V2Ray、</w:t>
      </w:r>
      <w:proofErr w:type="spellStart"/>
      <w:r w:rsidRPr="005D3FAA">
        <w:rPr>
          <w:rFonts w:ascii="仿宋" w:eastAsia="仿宋" w:hAnsi="仿宋" w:cs="仿宋_GB2312" w:hint="eastAsia"/>
          <w:kern w:val="0"/>
          <w:sz w:val="24"/>
          <w:szCs w:val="24"/>
          <w:lang w:eastAsia="zh-Hans"/>
        </w:rPr>
        <w:t>Surfshark</w:t>
      </w:r>
      <w:proofErr w:type="spellEnd"/>
      <w:r w:rsidRPr="005D3FAA">
        <w:rPr>
          <w:rFonts w:ascii="仿宋" w:eastAsia="仿宋" w:hAnsi="仿宋" w:cs="仿宋_GB2312" w:hint="eastAsia"/>
          <w:kern w:val="0"/>
          <w:sz w:val="24"/>
          <w:szCs w:val="24"/>
          <w:lang w:eastAsia="zh-Hans"/>
        </w:rPr>
        <w:t>、</w:t>
      </w:r>
      <w:proofErr w:type="spellStart"/>
      <w:r w:rsidRPr="005D3FAA">
        <w:rPr>
          <w:rFonts w:ascii="仿宋" w:eastAsia="仿宋" w:hAnsi="仿宋" w:cs="仿宋_GB2312" w:hint="eastAsia"/>
          <w:kern w:val="0"/>
          <w:sz w:val="24"/>
          <w:szCs w:val="24"/>
          <w:lang w:eastAsia="zh-Hans"/>
        </w:rPr>
        <w:t>naiun</w:t>
      </w:r>
      <w:proofErr w:type="spellEnd"/>
      <w:r w:rsidRPr="005D3FAA">
        <w:rPr>
          <w:rFonts w:ascii="仿宋" w:eastAsia="仿宋" w:hAnsi="仿宋" w:cs="仿宋_GB2312" w:hint="eastAsia"/>
          <w:kern w:val="0"/>
          <w:sz w:val="24"/>
          <w:szCs w:val="24"/>
          <w:lang w:eastAsia="zh-Hans"/>
        </w:rPr>
        <w:t>、clash verge等）。可关联威胁情报，识别命中非法代理、加密代理节点、订阅链接域名、IP、C2服务器等违规外联行为。</w:t>
      </w:r>
    </w:p>
    <w:p w14:paraId="5DB99170" w14:textId="3D72F2D4" w:rsidR="000E5D5D" w:rsidRPr="005D3FAA" w:rsidRDefault="000E5D5D" w:rsidP="000E5D5D">
      <w:pPr>
        <w:rPr>
          <w:rFonts w:ascii="仿宋" w:eastAsia="仿宋" w:hAnsi="仿宋" w:cs="仿宋_GB2312"/>
          <w:kern w:val="0"/>
          <w:sz w:val="24"/>
          <w:szCs w:val="24"/>
          <w:lang w:eastAsia="zh-Hans"/>
        </w:rPr>
      </w:pPr>
      <w:r w:rsidRPr="005D3FAA">
        <w:rPr>
          <w:rFonts w:ascii="仿宋" w:eastAsia="仿宋" w:hAnsi="仿宋" w:cs="仿宋_GB2312" w:hint="eastAsia"/>
          <w:kern w:val="0"/>
          <w:sz w:val="24"/>
          <w:szCs w:val="24"/>
          <w:lang w:eastAsia="zh-Hans"/>
        </w:rPr>
        <w:t>2.提供翻墙主机IP，翻墙主机是否暴露在外网、命中规则类型、目标域名或IP、翻墙工具、首次发现时间、最近活动时间等关键信息。</w:t>
      </w:r>
    </w:p>
    <w:p w14:paraId="6F485C48" w14:textId="67196FB2" w:rsidR="000E5D5D" w:rsidRPr="000E5D5D" w:rsidRDefault="00535261" w:rsidP="000E5D5D">
      <w:pPr>
        <w:pStyle w:val="2"/>
        <w:rPr>
          <w:rFonts w:ascii="仿宋" w:eastAsia="仿宋" w:hAnsi="仿宋"/>
          <w:b/>
          <w:bCs/>
          <w:color w:val="auto"/>
          <w:sz w:val="24"/>
          <w:szCs w:val="24"/>
        </w:rPr>
      </w:pPr>
      <w:r>
        <w:rPr>
          <w:rFonts w:ascii="仿宋" w:eastAsia="仿宋" w:hAnsi="仿宋"/>
          <w:b/>
          <w:bCs/>
          <w:color w:val="auto"/>
          <w:sz w:val="24"/>
          <w:szCs w:val="24"/>
        </w:rPr>
        <w:t>（</w:t>
      </w:r>
      <w:r>
        <w:rPr>
          <w:rFonts w:ascii="仿宋" w:eastAsia="仿宋" w:hAnsi="仿宋" w:hint="eastAsia"/>
          <w:b/>
          <w:bCs/>
          <w:color w:val="auto"/>
          <w:sz w:val="24"/>
          <w:szCs w:val="24"/>
        </w:rPr>
        <w:t>二</w:t>
      </w:r>
      <w:r>
        <w:rPr>
          <w:rFonts w:ascii="仿宋" w:eastAsia="仿宋" w:hAnsi="仿宋"/>
          <w:b/>
          <w:bCs/>
          <w:color w:val="auto"/>
          <w:sz w:val="24"/>
          <w:szCs w:val="24"/>
        </w:rPr>
        <w:t>）项目依据标准</w:t>
      </w:r>
    </w:p>
    <w:p w14:paraId="1650F8D9" w14:textId="77777777" w:rsidR="007F6CDA" w:rsidRDefault="00535261">
      <w:pPr>
        <w:pStyle w:val="null3"/>
        <w:spacing w:line="360" w:lineRule="auto"/>
        <w:rPr>
          <w:rFonts w:ascii="仿宋" w:eastAsia="仿宋" w:hAnsi="仿宋" w:cs="仿宋_GB2312" w:hint="default"/>
          <w:sz w:val="24"/>
          <w:szCs w:val="24"/>
          <w:lang w:eastAsia="zh-CN"/>
        </w:rPr>
      </w:pPr>
      <w:r>
        <w:rPr>
          <w:rFonts w:ascii="仿宋" w:eastAsia="仿宋" w:hAnsi="仿宋" w:cs="仿宋_GB2312"/>
          <w:sz w:val="24"/>
          <w:szCs w:val="24"/>
        </w:rPr>
        <w:t>《中华人民共和国网络安全法》</w:t>
      </w:r>
    </w:p>
    <w:p w14:paraId="1FADCA8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《中华人民共和国密码法》</w:t>
      </w:r>
    </w:p>
    <w:p w14:paraId="671073AC"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 xml:space="preserve">GB/T 22239-2019 </w:t>
      </w:r>
      <w:r>
        <w:rPr>
          <w:rFonts w:ascii="仿宋" w:eastAsia="仿宋" w:hAnsi="仿宋" w:cs="仿宋_GB2312"/>
          <w:sz w:val="24"/>
          <w:szCs w:val="24"/>
        </w:rPr>
        <w:t>信息安全技术网络安全等级保护基本要求》</w:t>
      </w:r>
    </w:p>
    <w:p w14:paraId="7D327AA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GB/T 28448-2019</w:t>
      </w:r>
      <w:r>
        <w:rPr>
          <w:rFonts w:ascii="仿宋" w:eastAsia="仿宋" w:hAnsi="仿宋" w:cs="仿宋_GB2312"/>
          <w:sz w:val="24"/>
          <w:szCs w:val="24"/>
        </w:rPr>
        <w:t>信息安全技术网络安全等级保护测评要求》</w:t>
      </w:r>
    </w:p>
    <w:p w14:paraId="14984B76"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GB/T 25058-2019</w:t>
      </w:r>
      <w:r>
        <w:rPr>
          <w:rFonts w:ascii="仿宋" w:eastAsia="仿宋" w:hAnsi="仿宋" w:cs="仿宋_GB2312"/>
          <w:sz w:val="24"/>
          <w:szCs w:val="24"/>
        </w:rPr>
        <w:t>信息安全技术网络安全等级保护测评过程指南》</w:t>
      </w:r>
    </w:p>
    <w:p w14:paraId="3193ABD6"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 xml:space="preserve">GB/T </w:t>
      </w:r>
      <w:r>
        <w:rPr>
          <w:rFonts w:ascii="仿宋" w:eastAsia="仿宋" w:hAnsi="仿宋" w:cs="仿宋_GB2312"/>
          <w:sz w:val="24"/>
          <w:szCs w:val="24"/>
        </w:rPr>
        <w:t>36627-2018</w:t>
      </w:r>
      <w:r>
        <w:rPr>
          <w:rFonts w:ascii="仿宋" w:eastAsia="仿宋" w:hAnsi="仿宋" w:cs="仿宋_GB2312"/>
          <w:sz w:val="24"/>
          <w:szCs w:val="24"/>
        </w:rPr>
        <w:t>信息安全技术网络安全等级保护测试评估技术指南》</w:t>
      </w:r>
    </w:p>
    <w:p w14:paraId="0933EC8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GB/T 22240-2020</w:t>
      </w:r>
      <w:r>
        <w:rPr>
          <w:rFonts w:ascii="仿宋" w:eastAsia="仿宋" w:hAnsi="仿宋" w:cs="仿宋_GB2312"/>
          <w:sz w:val="24"/>
          <w:szCs w:val="24"/>
        </w:rPr>
        <w:t>信息安全技术网络安全等级保护定级指南》</w:t>
      </w:r>
    </w:p>
    <w:p w14:paraId="0D5FFEB6"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GB/T 39786</w:t>
      </w:r>
      <w:r>
        <w:rPr>
          <w:rFonts w:ascii="仿宋" w:eastAsia="仿宋" w:hAnsi="仿宋" w:cs="仿宋_GB2312"/>
          <w:sz w:val="24"/>
          <w:szCs w:val="24"/>
        </w:rPr>
        <w:t>—</w:t>
      </w:r>
      <w:r>
        <w:rPr>
          <w:rFonts w:ascii="仿宋" w:eastAsia="仿宋" w:hAnsi="仿宋" w:cs="仿宋_GB2312"/>
          <w:sz w:val="24"/>
          <w:szCs w:val="24"/>
        </w:rPr>
        <w:t>2021</w:t>
      </w:r>
      <w:r>
        <w:rPr>
          <w:rFonts w:ascii="仿宋" w:eastAsia="仿宋" w:hAnsi="仿宋" w:cs="仿宋_GB2312"/>
          <w:sz w:val="24"/>
          <w:szCs w:val="24"/>
        </w:rPr>
        <w:t>信息安全技术</w:t>
      </w:r>
      <w:r>
        <w:rPr>
          <w:rFonts w:ascii="仿宋" w:eastAsia="仿宋" w:hAnsi="仿宋" w:cs="仿宋_GB2312"/>
          <w:sz w:val="24"/>
          <w:szCs w:val="24"/>
        </w:rPr>
        <w:t xml:space="preserve"> </w:t>
      </w:r>
      <w:r>
        <w:rPr>
          <w:rFonts w:ascii="仿宋" w:eastAsia="仿宋" w:hAnsi="仿宋" w:cs="仿宋_GB2312"/>
          <w:sz w:val="24"/>
          <w:szCs w:val="24"/>
        </w:rPr>
        <w:t>信息系统密码应用基本要求》</w:t>
      </w:r>
    </w:p>
    <w:p w14:paraId="36BB373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GB/T 43207</w:t>
      </w:r>
      <w:r>
        <w:rPr>
          <w:rFonts w:ascii="仿宋" w:eastAsia="仿宋" w:hAnsi="仿宋" w:cs="仿宋_GB2312"/>
          <w:sz w:val="24"/>
          <w:szCs w:val="24"/>
        </w:rPr>
        <w:t>—</w:t>
      </w:r>
      <w:r>
        <w:rPr>
          <w:rFonts w:ascii="仿宋" w:eastAsia="仿宋" w:hAnsi="仿宋" w:cs="仿宋_GB2312"/>
          <w:sz w:val="24"/>
          <w:szCs w:val="24"/>
        </w:rPr>
        <w:t>2023</w:t>
      </w:r>
      <w:r>
        <w:rPr>
          <w:rFonts w:ascii="仿宋" w:eastAsia="仿宋" w:hAnsi="仿宋" w:cs="仿宋_GB2312"/>
          <w:sz w:val="24"/>
          <w:szCs w:val="24"/>
        </w:rPr>
        <w:t>信息安全技术</w:t>
      </w:r>
      <w:r>
        <w:rPr>
          <w:rFonts w:ascii="仿宋" w:eastAsia="仿宋" w:hAnsi="仿宋" w:cs="仿宋_GB2312"/>
          <w:sz w:val="24"/>
          <w:szCs w:val="24"/>
        </w:rPr>
        <w:t xml:space="preserve"> </w:t>
      </w:r>
      <w:r>
        <w:rPr>
          <w:rFonts w:ascii="仿宋" w:eastAsia="仿宋" w:hAnsi="仿宋" w:cs="仿宋_GB2312"/>
          <w:sz w:val="24"/>
          <w:szCs w:val="24"/>
        </w:rPr>
        <w:t>信息系统密码应用设计指南》</w:t>
      </w:r>
    </w:p>
    <w:p w14:paraId="47418A6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GB/T 43206</w:t>
      </w:r>
      <w:r>
        <w:rPr>
          <w:rFonts w:ascii="仿宋" w:eastAsia="仿宋" w:hAnsi="仿宋" w:cs="仿宋_GB2312"/>
          <w:sz w:val="24"/>
          <w:szCs w:val="24"/>
        </w:rPr>
        <w:t>—</w:t>
      </w:r>
      <w:r>
        <w:rPr>
          <w:rFonts w:ascii="仿宋" w:eastAsia="仿宋" w:hAnsi="仿宋" w:cs="仿宋_GB2312"/>
          <w:sz w:val="24"/>
          <w:szCs w:val="24"/>
        </w:rPr>
        <w:t>2023</w:t>
      </w:r>
      <w:r>
        <w:rPr>
          <w:rFonts w:ascii="仿宋" w:eastAsia="仿宋" w:hAnsi="仿宋" w:cs="仿宋_GB2312"/>
          <w:sz w:val="24"/>
          <w:szCs w:val="24"/>
        </w:rPr>
        <w:t>信息安全技术</w:t>
      </w:r>
      <w:r>
        <w:rPr>
          <w:rFonts w:ascii="仿宋" w:eastAsia="仿宋" w:hAnsi="仿宋" w:cs="仿宋_GB2312"/>
          <w:sz w:val="24"/>
          <w:szCs w:val="24"/>
        </w:rPr>
        <w:t xml:space="preserve"> </w:t>
      </w:r>
      <w:r>
        <w:rPr>
          <w:rFonts w:ascii="仿宋" w:eastAsia="仿宋" w:hAnsi="仿宋" w:cs="仿宋_GB2312"/>
          <w:sz w:val="24"/>
          <w:szCs w:val="24"/>
        </w:rPr>
        <w:t>信息系统密码应用测评要求》</w:t>
      </w:r>
    </w:p>
    <w:p w14:paraId="38665F7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lastRenderedPageBreak/>
        <w:t>《</w:t>
      </w:r>
      <w:r>
        <w:rPr>
          <w:rFonts w:ascii="仿宋" w:eastAsia="仿宋" w:hAnsi="仿宋" w:cs="仿宋_GB2312"/>
          <w:sz w:val="24"/>
          <w:szCs w:val="24"/>
        </w:rPr>
        <w:t>GM/T 0116</w:t>
      </w:r>
      <w:r>
        <w:rPr>
          <w:rFonts w:ascii="仿宋" w:eastAsia="仿宋" w:hAnsi="仿宋" w:cs="仿宋_GB2312"/>
          <w:sz w:val="24"/>
          <w:szCs w:val="24"/>
        </w:rPr>
        <w:t>—</w:t>
      </w:r>
      <w:r>
        <w:rPr>
          <w:rFonts w:ascii="仿宋" w:eastAsia="仿宋" w:hAnsi="仿宋" w:cs="仿宋_GB2312"/>
          <w:sz w:val="24"/>
          <w:szCs w:val="24"/>
        </w:rPr>
        <w:t>2021</w:t>
      </w:r>
      <w:r>
        <w:rPr>
          <w:rFonts w:ascii="仿宋" w:eastAsia="仿宋" w:hAnsi="仿宋" w:cs="仿宋_GB2312"/>
          <w:sz w:val="24"/>
          <w:szCs w:val="24"/>
        </w:rPr>
        <w:t>信息系统密码应用测评过程指南》</w:t>
      </w:r>
    </w:p>
    <w:p w14:paraId="3E6B2877" w14:textId="77777777" w:rsidR="007F6CDA" w:rsidRDefault="00535261">
      <w:pPr>
        <w:pStyle w:val="null3"/>
        <w:spacing w:line="360" w:lineRule="auto"/>
        <w:ind w:firstLineChars="100" w:firstLine="240"/>
        <w:rPr>
          <w:rFonts w:ascii="仿宋" w:eastAsia="仿宋" w:hAnsi="仿宋" w:hint="default"/>
          <w:sz w:val="24"/>
          <w:szCs w:val="24"/>
        </w:rPr>
      </w:pPr>
      <w:r>
        <w:rPr>
          <w:rFonts w:ascii="仿宋" w:eastAsia="仿宋" w:hAnsi="仿宋" w:cs="仿宋_GB2312"/>
          <w:sz w:val="24"/>
          <w:szCs w:val="24"/>
        </w:rPr>
        <w:t>国家及地方其他现行相关规范、标准文件及有关规定。</w:t>
      </w:r>
    </w:p>
    <w:p w14:paraId="2FFC2F34" w14:textId="77777777" w:rsidR="007F6CDA" w:rsidRDefault="00535261">
      <w:pPr>
        <w:pStyle w:val="2"/>
        <w:rPr>
          <w:rFonts w:ascii="仿宋" w:eastAsia="仿宋" w:hAnsi="仿宋"/>
          <w:b/>
          <w:bCs/>
          <w:color w:val="auto"/>
          <w:sz w:val="24"/>
          <w:szCs w:val="24"/>
        </w:rPr>
      </w:pPr>
      <w:r>
        <w:rPr>
          <w:rFonts w:ascii="仿宋" w:eastAsia="仿宋" w:hAnsi="仿宋"/>
          <w:b/>
          <w:bCs/>
          <w:color w:val="auto"/>
          <w:sz w:val="24"/>
          <w:szCs w:val="24"/>
        </w:rPr>
        <w:t>（</w:t>
      </w:r>
      <w:r>
        <w:rPr>
          <w:rFonts w:ascii="仿宋" w:eastAsia="仿宋" w:hAnsi="仿宋" w:hint="eastAsia"/>
          <w:b/>
          <w:bCs/>
          <w:color w:val="auto"/>
          <w:sz w:val="24"/>
          <w:szCs w:val="24"/>
        </w:rPr>
        <w:t>三</w:t>
      </w:r>
      <w:r>
        <w:rPr>
          <w:rFonts w:ascii="仿宋" w:eastAsia="仿宋" w:hAnsi="仿宋"/>
          <w:b/>
          <w:bCs/>
          <w:color w:val="auto"/>
          <w:sz w:val="24"/>
          <w:szCs w:val="24"/>
        </w:rPr>
        <w:t>）项目具体要求</w:t>
      </w:r>
    </w:p>
    <w:p w14:paraId="78ABACC9" w14:textId="77777777" w:rsidR="007F6CDA" w:rsidRDefault="00535261">
      <w:pPr>
        <w:pStyle w:val="2"/>
        <w:rPr>
          <w:rFonts w:ascii="仿宋" w:eastAsia="仿宋" w:hAnsi="仿宋"/>
          <w:b/>
          <w:bCs/>
          <w:color w:val="auto"/>
          <w:sz w:val="24"/>
          <w:szCs w:val="24"/>
        </w:rPr>
      </w:pPr>
      <w:r>
        <w:rPr>
          <w:rFonts w:ascii="仿宋" w:eastAsia="仿宋" w:hAnsi="仿宋"/>
          <w:b/>
          <w:bCs/>
          <w:color w:val="auto"/>
          <w:sz w:val="24"/>
          <w:szCs w:val="24"/>
        </w:rPr>
        <w:t>3.1</w:t>
      </w:r>
      <w:r>
        <w:rPr>
          <w:rFonts w:ascii="仿宋" w:eastAsia="仿宋" w:hAnsi="仿宋"/>
          <w:b/>
          <w:bCs/>
          <w:color w:val="auto"/>
          <w:sz w:val="24"/>
          <w:szCs w:val="24"/>
        </w:rPr>
        <w:t>等保测评要求</w:t>
      </w:r>
    </w:p>
    <w:p w14:paraId="6D10A57C" w14:textId="77777777" w:rsidR="007F6CDA" w:rsidRDefault="00535261">
      <w:pPr>
        <w:pStyle w:val="null3"/>
        <w:spacing w:line="360" w:lineRule="auto"/>
        <w:ind w:firstLineChars="200" w:firstLine="480"/>
        <w:rPr>
          <w:rFonts w:ascii="仿宋" w:eastAsia="仿宋" w:hAnsi="仿宋" w:hint="default"/>
          <w:sz w:val="24"/>
          <w:szCs w:val="24"/>
        </w:rPr>
      </w:pPr>
      <w:r>
        <w:rPr>
          <w:rFonts w:ascii="仿宋" w:eastAsia="仿宋" w:hAnsi="仿宋" w:cs="仿宋_GB2312"/>
          <w:sz w:val="24"/>
          <w:szCs w:val="24"/>
        </w:rPr>
        <w:t>参照《</w:t>
      </w:r>
      <w:r>
        <w:rPr>
          <w:rFonts w:ascii="仿宋" w:eastAsia="仿宋" w:hAnsi="仿宋" w:cs="仿宋_GB2312"/>
          <w:sz w:val="24"/>
          <w:szCs w:val="24"/>
        </w:rPr>
        <w:t xml:space="preserve">GB/T 22239-2019 </w:t>
      </w:r>
      <w:r>
        <w:rPr>
          <w:rFonts w:ascii="仿宋" w:eastAsia="仿宋" w:hAnsi="仿宋" w:cs="仿宋_GB2312"/>
          <w:sz w:val="24"/>
          <w:szCs w:val="24"/>
        </w:rPr>
        <w:t>信息安全技术网络安全等级保护基本要求》、《</w:t>
      </w:r>
      <w:r>
        <w:rPr>
          <w:rFonts w:ascii="仿宋" w:eastAsia="仿宋" w:hAnsi="仿宋" w:cs="仿宋_GB2312"/>
          <w:sz w:val="24"/>
          <w:szCs w:val="24"/>
        </w:rPr>
        <w:t>GB/T 28448-2019</w:t>
      </w:r>
      <w:r>
        <w:rPr>
          <w:rFonts w:ascii="仿宋" w:eastAsia="仿宋" w:hAnsi="仿宋" w:cs="仿宋_GB2312"/>
          <w:sz w:val="24"/>
          <w:szCs w:val="24"/>
        </w:rPr>
        <w:t>信息安全技术网络安全等级保护测评要求》等相关标准，开展等级测评工作，参照《信息系统安全等级测评报告模板》最新模板，出具测评报告。</w:t>
      </w:r>
    </w:p>
    <w:p w14:paraId="32A979A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项目实施过程中，如果国家或有关部门颁布了新的技术标准或规范，则成交供应商应采用新的标准或规范进行项目实施。</w:t>
      </w:r>
    </w:p>
    <w:p w14:paraId="2AAD2CBA" w14:textId="77777777" w:rsidR="007F6CDA" w:rsidRDefault="00535261">
      <w:pPr>
        <w:pStyle w:val="null3"/>
        <w:spacing w:line="360" w:lineRule="auto"/>
        <w:rPr>
          <w:rFonts w:ascii="仿宋" w:eastAsia="仿宋" w:hAnsi="仿宋" w:hint="default"/>
          <w:b/>
          <w:bCs/>
          <w:sz w:val="24"/>
          <w:szCs w:val="24"/>
        </w:rPr>
      </w:pPr>
      <w:r>
        <w:rPr>
          <w:rFonts w:ascii="仿宋" w:eastAsia="仿宋" w:hAnsi="仿宋" w:cs="仿宋_GB2312"/>
          <w:b/>
          <w:bCs/>
          <w:sz w:val="24"/>
          <w:szCs w:val="24"/>
          <w:lang w:eastAsia="zh-CN"/>
        </w:rPr>
        <w:t>3</w:t>
      </w:r>
      <w:r>
        <w:rPr>
          <w:rFonts w:ascii="仿宋" w:eastAsia="仿宋" w:hAnsi="仿宋" w:cs="仿宋_GB2312"/>
          <w:b/>
          <w:bCs/>
          <w:sz w:val="24"/>
          <w:szCs w:val="24"/>
        </w:rPr>
        <w:t>.1.</w:t>
      </w:r>
      <w:r>
        <w:rPr>
          <w:rFonts w:ascii="仿宋" w:eastAsia="仿宋" w:hAnsi="仿宋" w:cs="仿宋_GB2312"/>
          <w:b/>
          <w:bCs/>
          <w:sz w:val="24"/>
          <w:szCs w:val="24"/>
          <w:lang w:eastAsia="zh-CN"/>
        </w:rPr>
        <w:t>1</w:t>
      </w:r>
      <w:r>
        <w:rPr>
          <w:rFonts w:ascii="仿宋" w:eastAsia="仿宋" w:hAnsi="仿宋" w:cs="仿宋_GB2312"/>
          <w:b/>
          <w:bCs/>
          <w:sz w:val="24"/>
          <w:szCs w:val="24"/>
        </w:rPr>
        <w:t xml:space="preserve"> </w:t>
      </w:r>
      <w:r>
        <w:rPr>
          <w:rFonts w:ascii="仿宋" w:eastAsia="仿宋" w:hAnsi="仿宋" w:cs="仿宋_GB2312"/>
          <w:b/>
          <w:bCs/>
          <w:sz w:val="24"/>
          <w:szCs w:val="24"/>
        </w:rPr>
        <w:t>实施要求</w:t>
      </w:r>
    </w:p>
    <w:p w14:paraId="5099975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1</w:t>
      </w:r>
      <w:r>
        <w:rPr>
          <w:rFonts w:ascii="仿宋" w:eastAsia="仿宋" w:hAnsi="仿宋" w:cs="仿宋_GB2312"/>
          <w:sz w:val="24"/>
          <w:szCs w:val="24"/>
        </w:rPr>
        <w:t>）系统梳理：协助采购人完成各信息系统梳理工作；</w:t>
      </w:r>
    </w:p>
    <w:p w14:paraId="2F50A2A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2</w:t>
      </w:r>
      <w:r>
        <w:rPr>
          <w:rFonts w:ascii="仿宋" w:eastAsia="仿宋" w:hAnsi="仿宋" w:cs="仿宋_GB2312"/>
          <w:sz w:val="24"/>
          <w:szCs w:val="24"/>
        </w:rPr>
        <w:t>）初测：对本项目所涉及的信息系统进行初次现场测评，测评完成后提交初</w:t>
      </w:r>
      <w:r>
        <w:rPr>
          <w:rFonts w:ascii="仿宋" w:eastAsia="仿宋" w:hAnsi="仿宋" w:cs="仿宋_GB2312"/>
          <w:sz w:val="24"/>
          <w:szCs w:val="24"/>
        </w:rPr>
        <w:t>评的整改意见报告；</w:t>
      </w:r>
    </w:p>
    <w:p w14:paraId="437DA32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3</w:t>
      </w:r>
      <w:r>
        <w:rPr>
          <w:rFonts w:ascii="仿宋" w:eastAsia="仿宋" w:hAnsi="仿宋" w:cs="仿宋_GB2312"/>
          <w:sz w:val="24"/>
          <w:szCs w:val="24"/>
        </w:rPr>
        <w:t>）整改加固协助：结合初测评整改意见，协助采购人对测评过程中发现的安全问题进行技术修复、整改加固工作，并进行整改后的回归测评；</w:t>
      </w:r>
    </w:p>
    <w:p w14:paraId="45E92D5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4</w:t>
      </w:r>
      <w:r>
        <w:rPr>
          <w:rFonts w:ascii="仿宋" w:eastAsia="仿宋" w:hAnsi="仿宋" w:cs="仿宋_GB2312"/>
          <w:sz w:val="24"/>
          <w:szCs w:val="24"/>
        </w:rPr>
        <w:t>）测评分析：包括单项测评与分析、单元测评与分析、整体测评与分析、等级测评与分析、测评报告分析等，提出进一步的安全建议和改进措施；</w:t>
      </w:r>
    </w:p>
    <w:p w14:paraId="1D7D4D7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5</w:t>
      </w:r>
      <w:r>
        <w:rPr>
          <w:rFonts w:ascii="仿宋" w:eastAsia="仿宋" w:hAnsi="仿宋" w:cs="仿宋_GB2312"/>
          <w:sz w:val="24"/>
          <w:szCs w:val="24"/>
        </w:rPr>
        <w:t>）成果递交：整理测评结果，提交被测信息系统安全等级保护测评报告以及相应文档；</w:t>
      </w:r>
    </w:p>
    <w:p w14:paraId="1C67D4D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6</w:t>
      </w:r>
      <w:r>
        <w:rPr>
          <w:rFonts w:ascii="仿宋" w:eastAsia="仿宋" w:hAnsi="仿宋" w:cs="仿宋_GB2312"/>
          <w:sz w:val="24"/>
          <w:szCs w:val="24"/>
        </w:rPr>
        <w:t>）过程风险管理：测试实施过程中，被测系统可能面临业务中断、数据丢失等安全风险。供应商应制定项目质量与风险管理方案，包括项目质量管理、流程管理、</w:t>
      </w:r>
      <w:r>
        <w:rPr>
          <w:rFonts w:ascii="仿宋" w:eastAsia="仿宋" w:hAnsi="仿宋" w:cs="仿宋_GB2312"/>
          <w:sz w:val="24"/>
          <w:szCs w:val="24"/>
        </w:rPr>
        <w:t>质量保证、对可预见的风险难点考虑周到等，采取必要的规避或防范措施。</w:t>
      </w:r>
    </w:p>
    <w:p w14:paraId="565D4500" w14:textId="77777777" w:rsidR="007F6CDA" w:rsidRDefault="00535261">
      <w:pPr>
        <w:pStyle w:val="null3"/>
        <w:spacing w:line="360" w:lineRule="auto"/>
        <w:rPr>
          <w:rFonts w:ascii="仿宋" w:eastAsia="仿宋" w:hAnsi="仿宋" w:hint="default"/>
          <w:b/>
          <w:bCs/>
          <w:sz w:val="24"/>
          <w:szCs w:val="24"/>
        </w:rPr>
      </w:pPr>
      <w:r>
        <w:rPr>
          <w:rFonts w:ascii="仿宋" w:eastAsia="仿宋" w:hAnsi="仿宋" w:cs="仿宋_GB2312"/>
          <w:b/>
          <w:bCs/>
          <w:sz w:val="24"/>
          <w:szCs w:val="24"/>
          <w:lang w:eastAsia="zh-CN"/>
        </w:rPr>
        <w:t>3</w:t>
      </w:r>
      <w:r>
        <w:rPr>
          <w:rFonts w:ascii="仿宋" w:eastAsia="仿宋" w:hAnsi="仿宋" w:cs="仿宋_GB2312"/>
          <w:b/>
          <w:bCs/>
          <w:sz w:val="24"/>
          <w:szCs w:val="24"/>
        </w:rPr>
        <w:t>.1.</w:t>
      </w:r>
      <w:r>
        <w:rPr>
          <w:rFonts w:ascii="仿宋" w:eastAsia="仿宋" w:hAnsi="仿宋" w:cs="仿宋_GB2312"/>
          <w:b/>
          <w:bCs/>
          <w:sz w:val="24"/>
          <w:szCs w:val="24"/>
          <w:lang w:eastAsia="zh-CN"/>
        </w:rPr>
        <w:t>2</w:t>
      </w:r>
      <w:r>
        <w:rPr>
          <w:rFonts w:ascii="仿宋" w:eastAsia="仿宋" w:hAnsi="仿宋" w:cs="仿宋_GB2312"/>
          <w:b/>
          <w:bCs/>
          <w:sz w:val="24"/>
          <w:szCs w:val="24"/>
        </w:rPr>
        <w:t>整改要求</w:t>
      </w:r>
    </w:p>
    <w:p w14:paraId="532CE55E"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结合等级保护测评结果，完成整改方案的设计。同时指导、协助采购人开展安全整改工作，使各系统达到等级保护要求标准，最终完成等级保护测评报告。</w:t>
      </w:r>
    </w:p>
    <w:p w14:paraId="7C683537" w14:textId="77777777" w:rsidR="007F6CDA" w:rsidRDefault="00535261">
      <w:pPr>
        <w:pStyle w:val="null3"/>
        <w:spacing w:line="360" w:lineRule="auto"/>
        <w:rPr>
          <w:rFonts w:ascii="仿宋" w:eastAsia="仿宋" w:hAnsi="仿宋" w:hint="default"/>
          <w:b/>
          <w:bCs/>
          <w:sz w:val="24"/>
          <w:szCs w:val="24"/>
        </w:rPr>
      </w:pPr>
      <w:r>
        <w:rPr>
          <w:rFonts w:ascii="仿宋" w:eastAsia="仿宋" w:hAnsi="仿宋" w:cs="仿宋_GB2312"/>
          <w:b/>
          <w:bCs/>
          <w:sz w:val="24"/>
          <w:szCs w:val="24"/>
          <w:lang w:eastAsia="zh-CN"/>
        </w:rPr>
        <w:t>3</w:t>
      </w:r>
      <w:r>
        <w:rPr>
          <w:rFonts w:ascii="仿宋" w:eastAsia="仿宋" w:hAnsi="仿宋" w:cs="仿宋_GB2312"/>
          <w:b/>
          <w:bCs/>
          <w:sz w:val="24"/>
          <w:szCs w:val="24"/>
        </w:rPr>
        <w:t>.1.</w:t>
      </w:r>
      <w:r>
        <w:rPr>
          <w:rFonts w:ascii="仿宋" w:eastAsia="仿宋" w:hAnsi="仿宋" w:cs="仿宋_GB2312"/>
          <w:b/>
          <w:bCs/>
          <w:sz w:val="24"/>
          <w:szCs w:val="24"/>
          <w:lang w:eastAsia="zh-CN"/>
        </w:rPr>
        <w:t>3</w:t>
      </w:r>
      <w:r>
        <w:rPr>
          <w:rFonts w:ascii="仿宋" w:eastAsia="仿宋" w:hAnsi="仿宋" w:cs="仿宋_GB2312"/>
          <w:b/>
          <w:bCs/>
          <w:sz w:val="24"/>
          <w:szCs w:val="24"/>
        </w:rPr>
        <w:t>详细技术需求</w:t>
      </w:r>
    </w:p>
    <w:p w14:paraId="44CE78A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对信息系统安全等级保护状况进行测试评估，应包括两个方面的内容：一是安全控制测评，主要测评信息安全等级保护要求的基本安全控制在信息系统中的实施配置情况；二是系统整体测评，主要测评分析信息系统的整体安全性。其中，安全控制测评是信息系统整体安全测评的基础。</w:t>
      </w:r>
    </w:p>
    <w:p w14:paraId="6A602DE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lastRenderedPageBreak/>
        <w:t>测评的具体</w:t>
      </w:r>
      <w:r>
        <w:rPr>
          <w:rFonts w:ascii="仿宋" w:eastAsia="仿宋" w:hAnsi="仿宋" w:cs="仿宋_GB2312"/>
          <w:sz w:val="24"/>
          <w:szCs w:val="24"/>
        </w:rPr>
        <w:t>要求包括但不限于以下内容：</w:t>
      </w:r>
    </w:p>
    <w:p w14:paraId="06CCDBF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1</w:t>
      </w:r>
      <w:r>
        <w:rPr>
          <w:rFonts w:ascii="仿宋" w:eastAsia="仿宋" w:hAnsi="仿宋" w:cs="仿宋_GB2312"/>
          <w:sz w:val="24"/>
          <w:szCs w:val="24"/>
        </w:rPr>
        <w:t>）安全物理环境</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1120"/>
        <w:gridCol w:w="1905"/>
        <w:gridCol w:w="6321"/>
      </w:tblGrid>
      <w:tr w:rsidR="007F6CDA" w14:paraId="10031051" w14:textId="77777777">
        <w:trPr>
          <w:trHeight w:val="946"/>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7C1F7AA7"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序号</w:t>
            </w:r>
          </w:p>
        </w:tc>
        <w:tc>
          <w:tcPr>
            <w:tcW w:w="1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5EB15665"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工作单元名称</w:t>
            </w:r>
          </w:p>
        </w:tc>
        <w:tc>
          <w:tcPr>
            <w:tcW w:w="632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544C591A"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工作单元描述</w:t>
            </w:r>
          </w:p>
        </w:tc>
      </w:tr>
      <w:tr w:rsidR="007F6CDA" w14:paraId="1654A6BE" w14:textId="77777777">
        <w:trPr>
          <w:trHeight w:val="1075"/>
        </w:trPr>
        <w:tc>
          <w:tcPr>
            <w:tcW w:w="1120"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095AD0B"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w:t>
            </w:r>
          </w:p>
        </w:tc>
        <w:tc>
          <w:tcPr>
            <w:tcW w:w="1905"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91C72FC"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物理位置选择</w:t>
            </w:r>
          </w:p>
        </w:tc>
        <w:tc>
          <w:tcPr>
            <w:tcW w:w="632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3740E4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通过访谈、检查机房等信息系统物理场所在位置上是否具有防震、防风和防雨等多方面的安全防范能力。</w:t>
            </w:r>
          </w:p>
        </w:tc>
      </w:tr>
      <w:tr w:rsidR="007F6CDA" w14:paraId="723D8B1F" w14:textId="77777777">
        <w:trPr>
          <w:trHeight w:val="737"/>
        </w:trPr>
        <w:tc>
          <w:tcPr>
            <w:tcW w:w="1120"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88D7E8C"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2</w:t>
            </w:r>
          </w:p>
        </w:tc>
        <w:tc>
          <w:tcPr>
            <w:tcW w:w="1905"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73C8B2F"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物理访问控制</w:t>
            </w:r>
          </w:p>
        </w:tc>
        <w:tc>
          <w:tcPr>
            <w:tcW w:w="632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8B4917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通过访谈、检查主机房出入口、机房分区域情况等过程，测评信息系统在物理访问控制方面的安全防范能力。</w:t>
            </w:r>
          </w:p>
        </w:tc>
      </w:tr>
      <w:tr w:rsidR="007F6CDA" w14:paraId="6ED4DEE7" w14:textId="77777777">
        <w:trPr>
          <w:trHeight w:val="1375"/>
        </w:trPr>
        <w:tc>
          <w:tcPr>
            <w:tcW w:w="1120"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E0F1EFF"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3</w:t>
            </w:r>
          </w:p>
        </w:tc>
        <w:tc>
          <w:tcPr>
            <w:tcW w:w="1905"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524E47E"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防盗窃和防破坏</w:t>
            </w:r>
          </w:p>
        </w:tc>
        <w:tc>
          <w:tcPr>
            <w:tcW w:w="632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35E970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通过访谈、检查机房的主要设备、介质和防盗报警系统等过程，测评信息系统是否采取必要的措施预防设备、介质等丢失和被破坏。</w:t>
            </w:r>
          </w:p>
        </w:tc>
      </w:tr>
      <w:tr w:rsidR="007F6CDA" w14:paraId="76A2F4F5" w14:textId="77777777">
        <w:trPr>
          <w:trHeight w:val="986"/>
        </w:trPr>
        <w:tc>
          <w:tcPr>
            <w:tcW w:w="1120"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7782B51"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4</w:t>
            </w:r>
          </w:p>
        </w:tc>
        <w:tc>
          <w:tcPr>
            <w:tcW w:w="1905"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822B5B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防雷击</w:t>
            </w:r>
          </w:p>
        </w:tc>
        <w:tc>
          <w:tcPr>
            <w:tcW w:w="632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6A3027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通过访谈、检查机房的设计</w:t>
            </w:r>
            <w:r>
              <w:rPr>
                <w:rFonts w:ascii="仿宋" w:eastAsia="仿宋" w:hAnsi="仿宋" w:cs="仿宋_GB2312"/>
                <w:sz w:val="24"/>
                <w:szCs w:val="24"/>
              </w:rPr>
              <w:t>/</w:t>
            </w:r>
            <w:r>
              <w:rPr>
                <w:rFonts w:ascii="仿宋" w:eastAsia="仿宋" w:hAnsi="仿宋" w:cs="仿宋_GB2312"/>
                <w:sz w:val="24"/>
                <w:szCs w:val="24"/>
              </w:rPr>
              <w:t>验收文档，测评信息系统是否采取相应的措施预防雷击。</w:t>
            </w:r>
          </w:p>
        </w:tc>
      </w:tr>
      <w:tr w:rsidR="007F6CDA" w14:paraId="73BB6C32" w14:textId="77777777">
        <w:trPr>
          <w:trHeight w:val="1300"/>
        </w:trPr>
        <w:tc>
          <w:tcPr>
            <w:tcW w:w="1120"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49C57C2"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5</w:t>
            </w:r>
          </w:p>
        </w:tc>
        <w:tc>
          <w:tcPr>
            <w:tcW w:w="1905"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CDF97F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防火</w:t>
            </w:r>
          </w:p>
        </w:tc>
        <w:tc>
          <w:tcPr>
            <w:tcW w:w="632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8D5236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通过访谈、检查机房的设计</w:t>
            </w:r>
            <w:r>
              <w:rPr>
                <w:rFonts w:ascii="仿宋" w:eastAsia="仿宋" w:hAnsi="仿宋" w:cs="仿宋_GB2312"/>
                <w:sz w:val="24"/>
                <w:szCs w:val="24"/>
              </w:rPr>
              <w:t>/</w:t>
            </w:r>
            <w:r>
              <w:rPr>
                <w:rFonts w:ascii="仿宋" w:eastAsia="仿宋" w:hAnsi="仿宋" w:cs="仿宋_GB2312"/>
                <w:sz w:val="24"/>
                <w:szCs w:val="24"/>
              </w:rPr>
              <w:t>验收文档，检查机房防火设备等过程，测评信息系统是否采取必要的措施防止火灾的发生。</w:t>
            </w:r>
          </w:p>
        </w:tc>
      </w:tr>
      <w:tr w:rsidR="007F6CDA" w14:paraId="4D3C6519" w14:textId="77777777">
        <w:trPr>
          <w:trHeight w:val="1051"/>
        </w:trPr>
        <w:tc>
          <w:tcPr>
            <w:tcW w:w="1120"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832B531"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6</w:t>
            </w:r>
          </w:p>
        </w:tc>
        <w:tc>
          <w:tcPr>
            <w:tcW w:w="1905"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C5E22E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防水和防潮</w:t>
            </w:r>
          </w:p>
        </w:tc>
        <w:tc>
          <w:tcPr>
            <w:tcW w:w="632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26D7C0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通过访谈、检查机房的除潮设备等过程，测评信息系统是否采取必要措施来防止水灾和机房潮湿。</w:t>
            </w:r>
          </w:p>
        </w:tc>
      </w:tr>
      <w:tr w:rsidR="007F6CDA" w14:paraId="1DF2A0B7" w14:textId="77777777">
        <w:trPr>
          <w:trHeight w:val="586"/>
        </w:trPr>
        <w:tc>
          <w:tcPr>
            <w:tcW w:w="1120"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0FF4547"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7</w:t>
            </w:r>
          </w:p>
        </w:tc>
        <w:tc>
          <w:tcPr>
            <w:tcW w:w="1905"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C117C6C"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防静电</w:t>
            </w:r>
          </w:p>
        </w:tc>
        <w:tc>
          <w:tcPr>
            <w:tcW w:w="632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5DF2DF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通过访谈、检查机房是否采取必要措施防止静电的产生。</w:t>
            </w:r>
          </w:p>
        </w:tc>
      </w:tr>
      <w:tr w:rsidR="007F6CDA" w14:paraId="718615B0" w14:textId="77777777">
        <w:trPr>
          <w:trHeight w:val="880"/>
        </w:trPr>
        <w:tc>
          <w:tcPr>
            <w:tcW w:w="1120"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00C535E"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8</w:t>
            </w:r>
          </w:p>
        </w:tc>
        <w:tc>
          <w:tcPr>
            <w:tcW w:w="1905"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3E6EA2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温湿度控制</w:t>
            </w:r>
          </w:p>
        </w:tc>
        <w:tc>
          <w:tcPr>
            <w:tcW w:w="632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CB2C6E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通过访谈、检查机房温、湿度情况，是否采取必要措施对机房内的温湿度进行控制。</w:t>
            </w:r>
          </w:p>
        </w:tc>
      </w:tr>
      <w:tr w:rsidR="007F6CDA" w14:paraId="00378095" w14:textId="77777777">
        <w:trPr>
          <w:trHeight w:val="951"/>
        </w:trPr>
        <w:tc>
          <w:tcPr>
            <w:tcW w:w="1120"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FFAE591"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9</w:t>
            </w:r>
          </w:p>
        </w:tc>
        <w:tc>
          <w:tcPr>
            <w:tcW w:w="1905"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745C36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电力供应</w:t>
            </w:r>
          </w:p>
        </w:tc>
        <w:tc>
          <w:tcPr>
            <w:tcW w:w="632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A66AE3E"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通过访谈、检查机房供电线路、设备等过程，是否具备提供一定的电力供应的能力。</w:t>
            </w:r>
          </w:p>
        </w:tc>
      </w:tr>
      <w:tr w:rsidR="007F6CDA" w14:paraId="7B9854D9" w14:textId="77777777">
        <w:trPr>
          <w:trHeight w:val="584"/>
        </w:trPr>
        <w:tc>
          <w:tcPr>
            <w:tcW w:w="1120"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C4C7180"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10</w:t>
            </w:r>
          </w:p>
        </w:tc>
        <w:tc>
          <w:tcPr>
            <w:tcW w:w="1905"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BAB1D2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电磁防护</w:t>
            </w:r>
          </w:p>
        </w:tc>
        <w:tc>
          <w:tcPr>
            <w:tcW w:w="632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E897D4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通过访谈、检查是否具备一定的电磁防护能力。</w:t>
            </w:r>
          </w:p>
        </w:tc>
      </w:tr>
    </w:tbl>
    <w:p w14:paraId="1DFC087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2</w:t>
      </w:r>
      <w:r>
        <w:rPr>
          <w:rFonts w:ascii="仿宋" w:eastAsia="仿宋" w:hAnsi="仿宋" w:cs="仿宋_GB2312"/>
          <w:sz w:val="24"/>
          <w:szCs w:val="24"/>
        </w:rPr>
        <w:t>）安全通信网络</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1061"/>
        <w:gridCol w:w="1804"/>
        <w:gridCol w:w="6486"/>
      </w:tblGrid>
      <w:tr w:rsidR="007F6CDA" w14:paraId="4E9FE35F" w14:textId="77777777">
        <w:trPr>
          <w:trHeight w:val="953"/>
        </w:trPr>
        <w:tc>
          <w:tcPr>
            <w:tcW w:w="10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68DC710C" w14:textId="77777777" w:rsidR="007F6CDA" w:rsidRDefault="00535261">
            <w:pPr>
              <w:pStyle w:val="null3"/>
              <w:spacing w:line="360" w:lineRule="auto"/>
              <w:jc w:val="center"/>
              <w:rPr>
                <w:rFonts w:ascii="仿宋" w:eastAsia="仿宋" w:hAnsi="仿宋" w:cs="仿宋_GB2312" w:hint="default"/>
                <w:sz w:val="24"/>
                <w:szCs w:val="24"/>
              </w:rPr>
            </w:pPr>
            <w:r>
              <w:rPr>
                <w:rFonts w:ascii="仿宋" w:eastAsia="仿宋" w:hAnsi="仿宋" w:cs="仿宋_GB2312"/>
                <w:sz w:val="24"/>
                <w:szCs w:val="24"/>
              </w:rPr>
              <w:lastRenderedPageBreak/>
              <w:t>序号</w:t>
            </w:r>
          </w:p>
        </w:tc>
        <w:tc>
          <w:tcPr>
            <w:tcW w:w="180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6BE9DAAF" w14:textId="77777777" w:rsidR="007F6CDA" w:rsidRDefault="00535261">
            <w:pPr>
              <w:pStyle w:val="null3"/>
              <w:spacing w:line="360" w:lineRule="auto"/>
              <w:jc w:val="center"/>
              <w:rPr>
                <w:rFonts w:ascii="仿宋" w:eastAsia="仿宋" w:hAnsi="仿宋" w:cs="仿宋_GB2312" w:hint="default"/>
                <w:sz w:val="24"/>
                <w:szCs w:val="24"/>
              </w:rPr>
            </w:pPr>
            <w:r>
              <w:rPr>
                <w:rFonts w:ascii="仿宋" w:eastAsia="仿宋" w:hAnsi="仿宋" w:cs="仿宋_GB2312"/>
                <w:sz w:val="24"/>
                <w:szCs w:val="24"/>
              </w:rPr>
              <w:t>工作单元名称</w:t>
            </w:r>
          </w:p>
        </w:tc>
        <w:tc>
          <w:tcPr>
            <w:tcW w:w="6486"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0577590C" w14:textId="77777777" w:rsidR="007F6CDA" w:rsidRDefault="00535261">
            <w:pPr>
              <w:pStyle w:val="null3"/>
              <w:spacing w:line="360" w:lineRule="auto"/>
              <w:jc w:val="center"/>
              <w:rPr>
                <w:rFonts w:ascii="仿宋" w:eastAsia="仿宋" w:hAnsi="仿宋" w:cs="仿宋_GB2312" w:hint="default"/>
                <w:sz w:val="24"/>
                <w:szCs w:val="24"/>
              </w:rPr>
            </w:pPr>
            <w:r>
              <w:rPr>
                <w:rFonts w:ascii="仿宋" w:eastAsia="仿宋" w:hAnsi="仿宋" w:cs="仿宋_GB2312"/>
                <w:sz w:val="24"/>
                <w:szCs w:val="24"/>
              </w:rPr>
              <w:t>工作单元描述</w:t>
            </w:r>
          </w:p>
        </w:tc>
      </w:tr>
      <w:tr w:rsidR="007F6CDA" w14:paraId="3B1660FF" w14:textId="77777777">
        <w:trPr>
          <w:trHeight w:val="962"/>
        </w:trPr>
        <w:tc>
          <w:tcPr>
            <w:tcW w:w="106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6E28E53" w14:textId="77777777" w:rsidR="007F6CDA" w:rsidRDefault="00535261">
            <w:pPr>
              <w:pStyle w:val="null3"/>
              <w:spacing w:line="360" w:lineRule="auto"/>
              <w:jc w:val="center"/>
              <w:rPr>
                <w:rFonts w:ascii="仿宋" w:eastAsia="仿宋" w:hAnsi="仿宋" w:cs="仿宋_GB2312" w:hint="default"/>
                <w:sz w:val="24"/>
                <w:szCs w:val="24"/>
              </w:rPr>
            </w:pPr>
            <w:r>
              <w:rPr>
                <w:rFonts w:ascii="仿宋" w:eastAsia="仿宋" w:hAnsi="仿宋" w:cs="仿宋_GB2312"/>
                <w:sz w:val="24"/>
                <w:szCs w:val="24"/>
              </w:rPr>
              <w:t>1</w:t>
            </w:r>
          </w:p>
        </w:tc>
        <w:tc>
          <w:tcPr>
            <w:tcW w:w="1804"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C7AE5B0" w14:textId="77777777" w:rsidR="007F6CDA" w:rsidRDefault="00535261">
            <w:pPr>
              <w:pStyle w:val="null3"/>
              <w:spacing w:line="360" w:lineRule="auto"/>
              <w:rPr>
                <w:rFonts w:ascii="仿宋" w:eastAsia="仿宋" w:hAnsi="仿宋" w:cs="仿宋_GB2312" w:hint="default"/>
                <w:sz w:val="24"/>
                <w:szCs w:val="24"/>
              </w:rPr>
            </w:pPr>
            <w:r>
              <w:rPr>
                <w:rFonts w:ascii="仿宋" w:eastAsia="仿宋" w:hAnsi="仿宋" w:cs="仿宋_GB2312"/>
                <w:sz w:val="24"/>
                <w:szCs w:val="24"/>
              </w:rPr>
              <w:t>网络架构</w:t>
            </w:r>
          </w:p>
        </w:tc>
        <w:tc>
          <w:tcPr>
            <w:tcW w:w="648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1CA5B1E" w14:textId="77777777" w:rsidR="007F6CDA" w:rsidRDefault="00535261">
            <w:pPr>
              <w:pStyle w:val="null3"/>
              <w:spacing w:line="360" w:lineRule="auto"/>
              <w:rPr>
                <w:rFonts w:ascii="仿宋" w:eastAsia="仿宋" w:hAnsi="仿宋" w:cs="仿宋_GB2312" w:hint="default"/>
                <w:sz w:val="24"/>
                <w:szCs w:val="24"/>
              </w:rPr>
            </w:pPr>
            <w:r>
              <w:rPr>
                <w:rFonts w:ascii="仿宋" w:eastAsia="仿宋" w:hAnsi="仿宋" w:cs="仿宋_GB2312"/>
                <w:sz w:val="24"/>
                <w:szCs w:val="24"/>
              </w:rPr>
              <w:t>通过访谈、检查、测试网络拓扑情况、抽查核心交换机、接入交换机和接入路由器等网络互联设备，测试系统访问路径和网络宽带分配情况等过程，测评分析网络架构与网段划分、隔离等情况的合理性和有效性，以及通信线路、关键设备硬件冗余，系统可用性保证情况。</w:t>
            </w:r>
          </w:p>
        </w:tc>
      </w:tr>
      <w:tr w:rsidR="007F6CDA" w14:paraId="1AF053CB" w14:textId="77777777">
        <w:trPr>
          <w:trHeight w:val="148"/>
        </w:trPr>
        <w:tc>
          <w:tcPr>
            <w:tcW w:w="106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493DAF8"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2</w:t>
            </w:r>
          </w:p>
        </w:tc>
        <w:tc>
          <w:tcPr>
            <w:tcW w:w="1804"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7444F1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通信传输</w:t>
            </w:r>
          </w:p>
        </w:tc>
        <w:tc>
          <w:tcPr>
            <w:tcW w:w="648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29BB80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通过访谈、检查、测试通信传输过程的数据完整性和保密性保护情况。</w:t>
            </w:r>
          </w:p>
        </w:tc>
      </w:tr>
      <w:tr w:rsidR="007F6CDA" w14:paraId="61B5B07B" w14:textId="77777777">
        <w:trPr>
          <w:trHeight w:val="1479"/>
        </w:trPr>
        <w:tc>
          <w:tcPr>
            <w:tcW w:w="106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0CB4567"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3</w:t>
            </w:r>
          </w:p>
        </w:tc>
        <w:tc>
          <w:tcPr>
            <w:tcW w:w="1804"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1322BC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可信验证</w:t>
            </w:r>
          </w:p>
        </w:tc>
        <w:tc>
          <w:tcPr>
            <w:tcW w:w="648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CC737D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通过访谈、检查通信设备的系统引导、系统程序、重要配置参数和通信应用程序等进行可信验证及应用程序的关键执行环节进行动态可信验证的保护情况。</w:t>
            </w:r>
          </w:p>
        </w:tc>
      </w:tr>
    </w:tbl>
    <w:p w14:paraId="1240512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3</w:t>
      </w:r>
      <w:r>
        <w:rPr>
          <w:rFonts w:ascii="仿宋" w:eastAsia="仿宋" w:hAnsi="仿宋" w:cs="仿宋_GB2312"/>
          <w:sz w:val="24"/>
          <w:szCs w:val="24"/>
        </w:rPr>
        <w:t>）安全区域边界</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671"/>
        <w:gridCol w:w="1451"/>
        <w:gridCol w:w="7229"/>
      </w:tblGrid>
      <w:tr w:rsidR="007F6CDA" w14:paraId="45F5267F" w14:textId="77777777">
        <w:tc>
          <w:tcPr>
            <w:tcW w:w="67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4876F3CE"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序号</w:t>
            </w:r>
          </w:p>
        </w:tc>
        <w:tc>
          <w:tcPr>
            <w:tcW w:w="145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1673F21E"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工作单元名称</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791C18ED"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工作单元描述</w:t>
            </w:r>
          </w:p>
        </w:tc>
      </w:tr>
      <w:tr w:rsidR="007F6CDA" w14:paraId="4818B442" w14:textId="77777777">
        <w:tc>
          <w:tcPr>
            <w:tcW w:w="67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8D2AD47"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w:t>
            </w:r>
          </w:p>
        </w:tc>
        <w:tc>
          <w:tcPr>
            <w:tcW w:w="145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54E602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边界防护</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ACB661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通过访谈、检查、测试边界完整性检查设备，测评分析跨域边界的访问控制和数据流通过边界设备的控制措施，非法内联、外联、无线准入控制的监测、阻断等能力。</w:t>
            </w:r>
          </w:p>
        </w:tc>
      </w:tr>
      <w:tr w:rsidR="007F6CDA" w14:paraId="76F628FE" w14:textId="77777777">
        <w:tc>
          <w:tcPr>
            <w:tcW w:w="67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6C82662"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2</w:t>
            </w:r>
          </w:p>
        </w:tc>
        <w:tc>
          <w:tcPr>
            <w:tcW w:w="145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77578B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访问控制</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0A4A26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通过访谈、检查、测试网络访问控制设备策略部署，测试系统对外暴露安全漏洞情况等过程，测评分析对进出网络的数据流量控制以及基于应用协议和应用内容的访问控制能力。</w:t>
            </w:r>
          </w:p>
        </w:tc>
      </w:tr>
      <w:tr w:rsidR="007F6CDA" w14:paraId="5FA07B3A" w14:textId="77777777">
        <w:tc>
          <w:tcPr>
            <w:tcW w:w="67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C8F9CAC"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3</w:t>
            </w:r>
          </w:p>
        </w:tc>
        <w:tc>
          <w:tcPr>
            <w:tcW w:w="145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C7A4AD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入侵防范</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A95606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网络边界处、关键网络节点检测、防止或限制从内部和外部发起网络攻击行为的防护能力，以及网络行为分析、监测、报警能力，特别是新型网络攻击行为的分析，对攻击行为的检测是否涉及攻击源、攻击类型、攻击目标、攻击事件、入侵报警等方面的防范能力。</w:t>
            </w:r>
          </w:p>
        </w:tc>
      </w:tr>
      <w:tr w:rsidR="007F6CDA" w14:paraId="6F47E969" w14:textId="77777777">
        <w:tc>
          <w:tcPr>
            <w:tcW w:w="67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AA44D2B"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lastRenderedPageBreak/>
              <w:t>4</w:t>
            </w:r>
          </w:p>
        </w:tc>
        <w:tc>
          <w:tcPr>
            <w:tcW w:w="145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C31301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恶意代码和防垃圾邮件</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60E57B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通过访谈、检查、测试关键网络节点处对恶意代码、垃圾邮件进</w:t>
            </w:r>
            <w:r>
              <w:rPr>
                <w:rFonts w:ascii="仿宋" w:eastAsia="仿宋" w:hAnsi="仿宋" w:cs="仿宋_GB2312"/>
                <w:sz w:val="24"/>
                <w:szCs w:val="24"/>
              </w:rPr>
              <w:t>行检测、防护和清除、恶意代码防护机制的升级和更新维护等情况。</w:t>
            </w:r>
          </w:p>
        </w:tc>
      </w:tr>
      <w:tr w:rsidR="007F6CDA" w14:paraId="1152F048" w14:textId="77777777">
        <w:tc>
          <w:tcPr>
            <w:tcW w:w="67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4D24A7F"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5</w:t>
            </w:r>
          </w:p>
        </w:tc>
        <w:tc>
          <w:tcPr>
            <w:tcW w:w="145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280AC9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安全审计</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D6A47D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通过访谈、检查网络边界、重要网络节点安全审计情况等，测评分析信息系统审计配置和审计记录保护，审计内容等情况。</w:t>
            </w:r>
          </w:p>
        </w:tc>
      </w:tr>
      <w:tr w:rsidR="007F6CDA" w14:paraId="05BD49B9" w14:textId="77777777">
        <w:tc>
          <w:tcPr>
            <w:tcW w:w="67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5D8B739"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6</w:t>
            </w:r>
          </w:p>
        </w:tc>
        <w:tc>
          <w:tcPr>
            <w:tcW w:w="145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5F9E0F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可信验证</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E386D1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通过访谈、检查边界设备的系统引导、系统程序、重要配置参数和边界防护应用程序等进行可信验证及应用程序的关键执行环节进行动态可信验证的保护情况。</w:t>
            </w:r>
          </w:p>
        </w:tc>
      </w:tr>
    </w:tbl>
    <w:p w14:paraId="49C1ED3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4</w:t>
      </w:r>
      <w:r>
        <w:rPr>
          <w:rFonts w:ascii="仿宋" w:eastAsia="仿宋" w:hAnsi="仿宋" w:cs="仿宋_GB2312"/>
          <w:sz w:val="24"/>
          <w:szCs w:val="24"/>
        </w:rPr>
        <w:t>）安全计算环境</w:t>
      </w:r>
    </w:p>
    <w:tbl>
      <w:tblPr>
        <w:tblW w:w="0" w:type="auto"/>
        <w:tblInd w:w="120" w:type="dxa"/>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766"/>
        <w:gridCol w:w="1523"/>
        <w:gridCol w:w="6942"/>
      </w:tblGrid>
      <w:tr w:rsidR="007F6CDA" w14:paraId="47958D6E" w14:textId="77777777">
        <w:tc>
          <w:tcPr>
            <w:tcW w:w="766"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2FB52002"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序号</w:t>
            </w:r>
          </w:p>
        </w:tc>
        <w:tc>
          <w:tcPr>
            <w:tcW w:w="1523" w:type="dxa"/>
            <w:tcBorders>
              <w:top w:val="single" w:sz="4" w:space="0" w:color="000000"/>
              <w:left w:val="nil"/>
              <w:bottom w:val="single" w:sz="4" w:space="0" w:color="000000"/>
              <w:right w:val="single" w:sz="4" w:space="0" w:color="000000"/>
            </w:tcBorders>
            <w:shd w:val="clear" w:color="auto" w:fill="FFFFFF"/>
            <w:tcMar>
              <w:top w:w="60" w:type="dxa"/>
              <w:left w:w="105" w:type="dxa"/>
              <w:bottom w:w="60" w:type="dxa"/>
              <w:right w:w="105" w:type="dxa"/>
            </w:tcMar>
          </w:tcPr>
          <w:p w14:paraId="5299B0D6"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工作单元名称</w:t>
            </w:r>
          </w:p>
        </w:tc>
        <w:tc>
          <w:tcPr>
            <w:tcW w:w="6942" w:type="dxa"/>
            <w:tcBorders>
              <w:top w:val="single" w:sz="4" w:space="0" w:color="000000"/>
              <w:left w:val="nil"/>
              <w:bottom w:val="single" w:sz="4" w:space="0" w:color="000000"/>
              <w:right w:val="single" w:sz="4" w:space="0" w:color="000000"/>
            </w:tcBorders>
            <w:shd w:val="clear" w:color="auto" w:fill="FFFFFF"/>
            <w:tcMar>
              <w:top w:w="60" w:type="dxa"/>
              <w:left w:w="105" w:type="dxa"/>
              <w:bottom w:w="60" w:type="dxa"/>
              <w:right w:w="105" w:type="dxa"/>
            </w:tcMar>
          </w:tcPr>
          <w:p w14:paraId="6D21DFDA"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工作单元描述</w:t>
            </w:r>
          </w:p>
        </w:tc>
      </w:tr>
      <w:tr w:rsidR="007F6CDA" w14:paraId="794CDFD0" w14:textId="77777777">
        <w:tc>
          <w:tcPr>
            <w:tcW w:w="76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F5F89B4"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w:t>
            </w:r>
          </w:p>
        </w:tc>
        <w:tc>
          <w:tcPr>
            <w:tcW w:w="1523" w:type="dxa"/>
            <w:tcBorders>
              <w:top w:val="nil"/>
              <w:left w:val="nil"/>
              <w:bottom w:val="single" w:sz="4" w:space="0" w:color="000000"/>
              <w:right w:val="single" w:sz="4" w:space="0" w:color="000000"/>
            </w:tcBorders>
            <w:tcMar>
              <w:top w:w="60" w:type="dxa"/>
              <w:left w:w="105" w:type="dxa"/>
              <w:bottom w:w="60" w:type="dxa"/>
              <w:right w:w="105" w:type="dxa"/>
            </w:tcMar>
          </w:tcPr>
          <w:p w14:paraId="1F32A8F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身份鉴别</w:t>
            </w:r>
          </w:p>
        </w:tc>
        <w:tc>
          <w:tcPr>
            <w:tcW w:w="6942" w:type="dxa"/>
            <w:tcBorders>
              <w:top w:val="nil"/>
              <w:left w:val="nil"/>
              <w:bottom w:val="single" w:sz="4" w:space="0" w:color="000000"/>
              <w:right w:val="single" w:sz="4" w:space="0" w:color="000000"/>
            </w:tcBorders>
            <w:tcMar>
              <w:top w:w="60" w:type="dxa"/>
              <w:left w:w="105" w:type="dxa"/>
              <w:bottom w:w="60" w:type="dxa"/>
              <w:right w:w="105" w:type="dxa"/>
            </w:tcMar>
          </w:tcPr>
          <w:p w14:paraId="7587E44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通过访谈、检查、测试对登录的用户进行身份标识和鉴别，是否具有不易被冒用的特点，口令应有复杂度要求并定期更换，以及远程管理安全、双因素鉴别等内容。</w:t>
            </w:r>
          </w:p>
        </w:tc>
      </w:tr>
      <w:tr w:rsidR="007F6CDA" w14:paraId="1374A258" w14:textId="77777777">
        <w:tc>
          <w:tcPr>
            <w:tcW w:w="76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53329F9"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2</w:t>
            </w:r>
          </w:p>
        </w:tc>
        <w:tc>
          <w:tcPr>
            <w:tcW w:w="1523" w:type="dxa"/>
            <w:tcBorders>
              <w:top w:val="nil"/>
              <w:left w:val="nil"/>
              <w:bottom w:val="single" w:sz="4" w:space="0" w:color="000000"/>
              <w:right w:val="single" w:sz="4" w:space="0" w:color="000000"/>
            </w:tcBorders>
            <w:tcMar>
              <w:top w:w="60" w:type="dxa"/>
              <w:left w:w="105" w:type="dxa"/>
              <w:bottom w:w="60" w:type="dxa"/>
              <w:right w:w="105" w:type="dxa"/>
            </w:tcMar>
          </w:tcPr>
          <w:p w14:paraId="66DDEF3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访问控制</w:t>
            </w:r>
          </w:p>
        </w:tc>
        <w:tc>
          <w:tcPr>
            <w:tcW w:w="6942" w:type="dxa"/>
            <w:tcBorders>
              <w:top w:val="nil"/>
              <w:left w:val="nil"/>
              <w:bottom w:val="single" w:sz="4" w:space="0" w:color="000000"/>
              <w:right w:val="single" w:sz="4" w:space="0" w:color="000000"/>
            </w:tcBorders>
            <w:tcMar>
              <w:top w:w="60" w:type="dxa"/>
              <w:left w:w="105" w:type="dxa"/>
              <w:bottom w:w="60" w:type="dxa"/>
              <w:right w:w="105" w:type="dxa"/>
            </w:tcMar>
          </w:tcPr>
          <w:p w14:paraId="6B2F5FA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通过访谈、检查、测试是否启用访问控制功能，依据安全策略控制用户对资源的访问；是否根据管理用户的角色分配权限，实现管理用户的权限分离，仅授予管理用户所需的最小权限等内容。</w:t>
            </w:r>
          </w:p>
        </w:tc>
      </w:tr>
      <w:tr w:rsidR="007F6CDA" w14:paraId="630754C3" w14:textId="77777777">
        <w:tc>
          <w:tcPr>
            <w:tcW w:w="76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C84D15F"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3</w:t>
            </w:r>
          </w:p>
        </w:tc>
        <w:tc>
          <w:tcPr>
            <w:tcW w:w="1523" w:type="dxa"/>
            <w:tcBorders>
              <w:top w:val="nil"/>
              <w:left w:val="nil"/>
              <w:bottom w:val="single" w:sz="4" w:space="0" w:color="000000"/>
              <w:right w:val="single" w:sz="4" w:space="0" w:color="000000"/>
            </w:tcBorders>
            <w:tcMar>
              <w:top w:w="60" w:type="dxa"/>
              <w:left w:w="105" w:type="dxa"/>
              <w:bottom w:w="60" w:type="dxa"/>
              <w:right w:w="105" w:type="dxa"/>
            </w:tcMar>
          </w:tcPr>
          <w:p w14:paraId="0E612DB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安全审计</w:t>
            </w:r>
          </w:p>
        </w:tc>
        <w:tc>
          <w:tcPr>
            <w:tcW w:w="6942" w:type="dxa"/>
            <w:tcBorders>
              <w:top w:val="nil"/>
              <w:left w:val="nil"/>
              <w:bottom w:val="single" w:sz="4" w:space="0" w:color="000000"/>
              <w:right w:val="single" w:sz="4" w:space="0" w:color="000000"/>
            </w:tcBorders>
            <w:tcMar>
              <w:top w:w="60" w:type="dxa"/>
              <w:left w:w="105" w:type="dxa"/>
              <w:bottom w:w="60" w:type="dxa"/>
              <w:right w:w="105" w:type="dxa"/>
            </w:tcMar>
          </w:tcPr>
          <w:p w14:paraId="41227C4C"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通过访谈、检查安全审计范围及内容。</w:t>
            </w:r>
          </w:p>
        </w:tc>
      </w:tr>
      <w:tr w:rsidR="007F6CDA" w14:paraId="0093934F" w14:textId="77777777">
        <w:tc>
          <w:tcPr>
            <w:tcW w:w="76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B4B9EEC"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4</w:t>
            </w:r>
          </w:p>
        </w:tc>
        <w:tc>
          <w:tcPr>
            <w:tcW w:w="1523" w:type="dxa"/>
            <w:tcBorders>
              <w:top w:val="nil"/>
              <w:left w:val="nil"/>
              <w:bottom w:val="single" w:sz="4" w:space="0" w:color="000000"/>
              <w:right w:val="single" w:sz="4" w:space="0" w:color="000000"/>
            </w:tcBorders>
            <w:tcMar>
              <w:top w:w="60" w:type="dxa"/>
              <w:left w:w="105" w:type="dxa"/>
              <w:bottom w:w="60" w:type="dxa"/>
              <w:right w:w="105" w:type="dxa"/>
            </w:tcMar>
          </w:tcPr>
          <w:p w14:paraId="0F1C94A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入侵防范</w:t>
            </w:r>
          </w:p>
        </w:tc>
        <w:tc>
          <w:tcPr>
            <w:tcW w:w="6942" w:type="dxa"/>
            <w:tcBorders>
              <w:top w:val="nil"/>
              <w:left w:val="nil"/>
              <w:bottom w:val="single" w:sz="4" w:space="0" w:color="000000"/>
              <w:right w:val="single" w:sz="4" w:space="0" w:color="000000"/>
            </w:tcBorders>
            <w:tcMar>
              <w:top w:w="60" w:type="dxa"/>
              <w:left w:w="105" w:type="dxa"/>
              <w:bottom w:w="60" w:type="dxa"/>
              <w:right w:w="105" w:type="dxa"/>
            </w:tcMar>
          </w:tcPr>
          <w:p w14:paraId="567FD17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通过访谈、检查、测试是否能够检测到对重要节点进行入侵的行为，能够记录入侵的源</w:t>
            </w:r>
            <w:r>
              <w:rPr>
                <w:rFonts w:ascii="仿宋" w:eastAsia="仿宋" w:hAnsi="仿宋" w:cs="仿宋_GB2312"/>
                <w:sz w:val="24"/>
                <w:szCs w:val="24"/>
              </w:rPr>
              <w:t>IP</w:t>
            </w:r>
            <w:r>
              <w:rPr>
                <w:rFonts w:ascii="仿宋" w:eastAsia="仿宋" w:hAnsi="仿宋" w:cs="仿宋_GB2312"/>
                <w:sz w:val="24"/>
                <w:szCs w:val="24"/>
              </w:rPr>
              <w:t>、攻击的类型、攻击的目的、攻击的时间，并在发生严重入侵事件时提供报警，是否遵循最小化安全安装原则、系统服务、默认共享和高危端口、终端接入限制、数据有效性检验、已知漏洞防护等内容。</w:t>
            </w:r>
          </w:p>
        </w:tc>
      </w:tr>
      <w:tr w:rsidR="007F6CDA" w14:paraId="3217556F" w14:textId="77777777">
        <w:tc>
          <w:tcPr>
            <w:tcW w:w="76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886DF58"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5</w:t>
            </w:r>
          </w:p>
        </w:tc>
        <w:tc>
          <w:tcPr>
            <w:tcW w:w="1523" w:type="dxa"/>
            <w:tcBorders>
              <w:top w:val="nil"/>
              <w:left w:val="nil"/>
              <w:bottom w:val="single" w:sz="4" w:space="0" w:color="000000"/>
              <w:right w:val="single" w:sz="4" w:space="0" w:color="000000"/>
            </w:tcBorders>
            <w:tcMar>
              <w:top w:w="60" w:type="dxa"/>
              <w:left w:w="105" w:type="dxa"/>
              <w:bottom w:w="60" w:type="dxa"/>
              <w:right w:w="105" w:type="dxa"/>
            </w:tcMar>
          </w:tcPr>
          <w:p w14:paraId="2932FBC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恶意代码防范</w:t>
            </w:r>
          </w:p>
        </w:tc>
        <w:tc>
          <w:tcPr>
            <w:tcW w:w="6942" w:type="dxa"/>
            <w:tcBorders>
              <w:top w:val="nil"/>
              <w:left w:val="nil"/>
              <w:bottom w:val="single" w:sz="4" w:space="0" w:color="000000"/>
              <w:right w:val="single" w:sz="4" w:space="0" w:color="000000"/>
            </w:tcBorders>
            <w:tcMar>
              <w:top w:w="60" w:type="dxa"/>
              <w:left w:w="105" w:type="dxa"/>
              <w:bottom w:w="60" w:type="dxa"/>
              <w:right w:w="105" w:type="dxa"/>
            </w:tcMar>
          </w:tcPr>
          <w:p w14:paraId="23F2BBB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通过访谈、检查、测试是否具有防恶意代码攻击的技术措施或主动免疫可信验证机制，能否及时识别入侵和病毒行为并将其有效阻断等内容。</w:t>
            </w:r>
          </w:p>
        </w:tc>
      </w:tr>
      <w:tr w:rsidR="007F6CDA" w14:paraId="697A1215" w14:textId="77777777">
        <w:tc>
          <w:tcPr>
            <w:tcW w:w="76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4355EE3"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lastRenderedPageBreak/>
              <w:t>6</w:t>
            </w:r>
          </w:p>
        </w:tc>
        <w:tc>
          <w:tcPr>
            <w:tcW w:w="1523" w:type="dxa"/>
            <w:tcBorders>
              <w:top w:val="nil"/>
              <w:left w:val="nil"/>
              <w:bottom w:val="single" w:sz="4" w:space="0" w:color="000000"/>
              <w:right w:val="single" w:sz="4" w:space="0" w:color="000000"/>
            </w:tcBorders>
            <w:tcMar>
              <w:top w:w="60" w:type="dxa"/>
              <w:left w:w="105" w:type="dxa"/>
              <w:bottom w:w="60" w:type="dxa"/>
              <w:right w:w="105" w:type="dxa"/>
            </w:tcMar>
          </w:tcPr>
          <w:p w14:paraId="4E8602F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可信验证</w:t>
            </w:r>
          </w:p>
        </w:tc>
        <w:tc>
          <w:tcPr>
            <w:tcW w:w="6942" w:type="dxa"/>
            <w:tcBorders>
              <w:top w:val="nil"/>
              <w:left w:val="nil"/>
              <w:bottom w:val="single" w:sz="4" w:space="0" w:color="000000"/>
              <w:right w:val="single" w:sz="4" w:space="0" w:color="000000"/>
            </w:tcBorders>
            <w:tcMar>
              <w:top w:w="60" w:type="dxa"/>
              <w:left w:w="105" w:type="dxa"/>
              <w:bottom w:w="60" w:type="dxa"/>
              <w:right w:w="105" w:type="dxa"/>
            </w:tcMar>
          </w:tcPr>
          <w:p w14:paraId="062C385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通过访谈、通过访谈安全员，检查计算设备的系统引导、系统程序、重要配置参数和应用程序等进行可信验证及应用程序的关键执行环节进行动态可信验证的保护情况。</w:t>
            </w:r>
          </w:p>
        </w:tc>
      </w:tr>
      <w:tr w:rsidR="007F6CDA" w14:paraId="77795114" w14:textId="77777777">
        <w:tc>
          <w:tcPr>
            <w:tcW w:w="76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B149D7A"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7</w:t>
            </w:r>
          </w:p>
        </w:tc>
        <w:tc>
          <w:tcPr>
            <w:tcW w:w="1523" w:type="dxa"/>
            <w:tcBorders>
              <w:top w:val="nil"/>
              <w:left w:val="nil"/>
              <w:bottom w:val="single" w:sz="4" w:space="0" w:color="000000"/>
              <w:right w:val="single" w:sz="4" w:space="0" w:color="000000"/>
            </w:tcBorders>
            <w:tcMar>
              <w:top w:w="60" w:type="dxa"/>
              <w:left w:w="105" w:type="dxa"/>
              <w:bottom w:w="60" w:type="dxa"/>
              <w:right w:w="105" w:type="dxa"/>
            </w:tcMar>
          </w:tcPr>
          <w:p w14:paraId="30EA0FB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数据完整性</w:t>
            </w:r>
          </w:p>
        </w:tc>
        <w:tc>
          <w:tcPr>
            <w:tcW w:w="6942" w:type="dxa"/>
            <w:tcBorders>
              <w:top w:val="nil"/>
              <w:left w:val="nil"/>
              <w:bottom w:val="single" w:sz="4" w:space="0" w:color="000000"/>
              <w:right w:val="single" w:sz="4" w:space="0" w:color="000000"/>
            </w:tcBorders>
            <w:tcMar>
              <w:top w:w="60" w:type="dxa"/>
              <w:left w:w="105" w:type="dxa"/>
              <w:bottom w:w="60" w:type="dxa"/>
              <w:right w:w="105" w:type="dxa"/>
            </w:tcMar>
          </w:tcPr>
          <w:p w14:paraId="1E6A84E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通过访谈、检查、测试重要数据在传输和存储过程中的完整性保护情况，包括鉴别数据、重要业务数据、重要审计数据、重要配置数据、重要视频数据和重要个人信息等。</w:t>
            </w:r>
          </w:p>
        </w:tc>
      </w:tr>
      <w:tr w:rsidR="007F6CDA" w14:paraId="32F1AA80" w14:textId="77777777">
        <w:tc>
          <w:tcPr>
            <w:tcW w:w="76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4287131"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8</w:t>
            </w:r>
          </w:p>
        </w:tc>
        <w:tc>
          <w:tcPr>
            <w:tcW w:w="1523" w:type="dxa"/>
            <w:tcBorders>
              <w:top w:val="nil"/>
              <w:left w:val="nil"/>
              <w:bottom w:val="single" w:sz="4" w:space="0" w:color="000000"/>
              <w:right w:val="single" w:sz="4" w:space="0" w:color="000000"/>
            </w:tcBorders>
            <w:tcMar>
              <w:top w:w="60" w:type="dxa"/>
              <w:left w:w="105" w:type="dxa"/>
              <w:bottom w:w="60" w:type="dxa"/>
              <w:right w:w="105" w:type="dxa"/>
            </w:tcMar>
          </w:tcPr>
          <w:p w14:paraId="1E8B214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数据保密性</w:t>
            </w:r>
          </w:p>
        </w:tc>
        <w:tc>
          <w:tcPr>
            <w:tcW w:w="6942" w:type="dxa"/>
            <w:tcBorders>
              <w:top w:val="nil"/>
              <w:left w:val="nil"/>
              <w:bottom w:val="single" w:sz="4" w:space="0" w:color="000000"/>
              <w:right w:val="single" w:sz="4" w:space="0" w:color="000000"/>
            </w:tcBorders>
            <w:tcMar>
              <w:top w:w="60" w:type="dxa"/>
              <w:left w:w="105" w:type="dxa"/>
              <w:bottom w:w="60" w:type="dxa"/>
              <w:right w:w="105" w:type="dxa"/>
            </w:tcMar>
          </w:tcPr>
          <w:p w14:paraId="5A881DF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通过访谈、检查、测试重要数据在传输和存储过程中的保密性保护情况，包括鉴别数据、重要业务数据、重要审计数据、重要配置数据、重要视频数据和重要个人信息等。</w:t>
            </w:r>
          </w:p>
        </w:tc>
      </w:tr>
      <w:tr w:rsidR="007F6CDA" w14:paraId="0DC209AA" w14:textId="77777777">
        <w:tc>
          <w:tcPr>
            <w:tcW w:w="76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C26C551"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9</w:t>
            </w:r>
          </w:p>
        </w:tc>
        <w:tc>
          <w:tcPr>
            <w:tcW w:w="1523" w:type="dxa"/>
            <w:tcBorders>
              <w:top w:val="nil"/>
              <w:left w:val="nil"/>
              <w:bottom w:val="single" w:sz="4" w:space="0" w:color="000000"/>
              <w:right w:val="single" w:sz="4" w:space="0" w:color="000000"/>
            </w:tcBorders>
            <w:tcMar>
              <w:top w:w="60" w:type="dxa"/>
              <w:left w:w="105" w:type="dxa"/>
              <w:bottom w:w="60" w:type="dxa"/>
              <w:right w:w="105" w:type="dxa"/>
            </w:tcMar>
          </w:tcPr>
          <w:p w14:paraId="766CA5F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数据备份恢复</w:t>
            </w:r>
          </w:p>
        </w:tc>
        <w:tc>
          <w:tcPr>
            <w:tcW w:w="6942" w:type="dxa"/>
            <w:tcBorders>
              <w:top w:val="nil"/>
              <w:left w:val="nil"/>
              <w:bottom w:val="single" w:sz="4" w:space="0" w:color="000000"/>
              <w:right w:val="single" w:sz="4" w:space="0" w:color="000000"/>
            </w:tcBorders>
            <w:tcMar>
              <w:top w:w="60" w:type="dxa"/>
              <w:left w:w="105" w:type="dxa"/>
              <w:bottom w:w="60" w:type="dxa"/>
              <w:right w:w="105" w:type="dxa"/>
            </w:tcMar>
          </w:tcPr>
          <w:p w14:paraId="4126EF9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通过访谈、检查、测试重要数据本地备份与恢复功能，异地实时备份功能，以及重要数据处理系统的热冗余和高可用性保证等。</w:t>
            </w:r>
          </w:p>
        </w:tc>
      </w:tr>
      <w:tr w:rsidR="007F6CDA" w14:paraId="45FC77F8" w14:textId="77777777">
        <w:tc>
          <w:tcPr>
            <w:tcW w:w="76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7F96CC3"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10</w:t>
            </w:r>
          </w:p>
        </w:tc>
        <w:tc>
          <w:tcPr>
            <w:tcW w:w="1523" w:type="dxa"/>
            <w:tcBorders>
              <w:top w:val="nil"/>
              <w:left w:val="nil"/>
              <w:bottom w:val="single" w:sz="4" w:space="0" w:color="000000"/>
              <w:right w:val="single" w:sz="4" w:space="0" w:color="000000"/>
            </w:tcBorders>
            <w:tcMar>
              <w:top w:w="60" w:type="dxa"/>
              <w:left w:w="105" w:type="dxa"/>
              <w:bottom w:w="60" w:type="dxa"/>
              <w:right w:w="105" w:type="dxa"/>
            </w:tcMar>
          </w:tcPr>
          <w:p w14:paraId="66CE62E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剩余信息保护</w:t>
            </w:r>
          </w:p>
        </w:tc>
        <w:tc>
          <w:tcPr>
            <w:tcW w:w="6942" w:type="dxa"/>
            <w:tcBorders>
              <w:top w:val="nil"/>
              <w:left w:val="nil"/>
              <w:bottom w:val="single" w:sz="4" w:space="0" w:color="000000"/>
              <w:right w:val="single" w:sz="4" w:space="0" w:color="000000"/>
            </w:tcBorders>
            <w:tcMar>
              <w:top w:w="60" w:type="dxa"/>
              <w:left w:w="105" w:type="dxa"/>
              <w:bottom w:w="60" w:type="dxa"/>
              <w:right w:w="105" w:type="dxa"/>
            </w:tcMar>
          </w:tcPr>
          <w:p w14:paraId="16B557F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通过访谈、检查、测试边界信息在存储空间被释放或重新分配前是否有效清除，存有敏感数据的存储空间被释放或重新分配前是否有效清除等。</w:t>
            </w:r>
          </w:p>
        </w:tc>
      </w:tr>
      <w:tr w:rsidR="007F6CDA" w14:paraId="2E2ECC72" w14:textId="77777777">
        <w:tc>
          <w:tcPr>
            <w:tcW w:w="76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1934BC0"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11</w:t>
            </w:r>
          </w:p>
        </w:tc>
        <w:tc>
          <w:tcPr>
            <w:tcW w:w="1523" w:type="dxa"/>
            <w:tcBorders>
              <w:top w:val="nil"/>
              <w:left w:val="nil"/>
              <w:bottom w:val="single" w:sz="4" w:space="0" w:color="000000"/>
              <w:right w:val="single" w:sz="4" w:space="0" w:color="000000"/>
            </w:tcBorders>
            <w:tcMar>
              <w:top w:w="60" w:type="dxa"/>
              <w:left w:w="105" w:type="dxa"/>
              <w:bottom w:w="60" w:type="dxa"/>
              <w:right w:w="105" w:type="dxa"/>
            </w:tcMar>
          </w:tcPr>
          <w:p w14:paraId="0ACDB26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个人信息保护</w:t>
            </w:r>
          </w:p>
        </w:tc>
        <w:tc>
          <w:tcPr>
            <w:tcW w:w="6942" w:type="dxa"/>
            <w:tcBorders>
              <w:top w:val="nil"/>
              <w:left w:val="nil"/>
              <w:bottom w:val="single" w:sz="4" w:space="0" w:color="000000"/>
              <w:right w:val="single" w:sz="4" w:space="0" w:color="000000"/>
            </w:tcBorders>
            <w:tcMar>
              <w:top w:w="60" w:type="dxa"/>
              <w:left w:w="105" w:type="dxa"/>
              <w:bottom w:w="60" w:type="dxa"/>
              <w:right w:w="105" w:type="dxa"/>
            </w:tcMar>
          </w:tcPr>
          <w:p w14:paraId="104124D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通过访谈、检查、测试是否仅采集和保存业务必须的用户个人信息，对用户个人信息的访问和使用等。</w:t>
            </w:r>
          </w:p>
        </w:tc>
      </w:tr>
    </w:tbl>
    <w:p w14:paraId="5465F11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5</w:t>
      </w:r>
      <w:r>
        <w:rPr>
          <w:rFonts w:ascii="仿宋" w:eastAsia="仿宋" w:hAnsi="仿宋" w:cs="仿宋_GB2312"/>
          <w:sz w:val="24"/>
          <w:szCs w:val="24"/>
        </w:rPr>
        <w:t>）安全管理中心</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557"/>
        <w:gridCol w:w="1848"/>
        <w:gridCol w:w="6946"/>
      </w:tblGrid>
      <w:tr w:rsidR="007F6CDA" w14:paraId="6157D33E" w14:textId="77777777">
        <w:tc>
          <w:tcPr>
            <w:tcW w:w="55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65DDEB7C"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序号</w:t>
            </w:r>
          </w:p>
        </w:tc>
        <w:tc>
          <w:tcPr>
            <w:tcW w:w="184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0D9FCF2A"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工作单元名称</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46DB2CF0"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工作单元描述</w:t>
            </w:r>
          </w:p>
        </w:tc>
      </w:tr>
      <w:tr w:rsidR="007F6CDA" w14:paraId="5F0661A7" w14:textId="77777777">
        <w:tc>
          <w:tcPr>
            <w:tcW w:w="557"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14FEC7C"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w:t>
            </w:r>
          </w:p>
        </w:tc>
        <w:tc>
          <w:tcPr>
            <w:tcW w:w="1848"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230074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系统管理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794B59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通过访谈、检查、测试对系统管理员身份鉴别、命令或操作管理、操作审计，以及是否通过系统管理对系统资源和运行进行配置、控制和管理等。</w:t>
            </w:r>
          </w:p>
        </w:tc>
      </w:tr>
      <w:tr w:rsidR="007F6CDA" w14:paraId="4530853E" w14:textId="77777777">
        <w:tc>
          <w:tcPr>
            <w:tcW w:w="557"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2DD25AD"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2</w:t>
            </w:r>
          </w:p>
        </w:tc>
        <w:tc>
          <w:tcPr>
            <w:tcW w:w="1848"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8FB27C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审计管理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632C806"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通过访谈、检查、测试对审计管理员身份鉴别、命令或操作管理、操作审计，以及是否通过审计管理员对审计策略、审计记录进行分析、处理等。</w:t>
            </w:r>
          </w:p>
        </w:tc>
      </w:tr>
      <w:tr w:rsidR="007F6CDA" w14:paraId="2ADE378F" w14:textId="77777777">
        <w:tc>
          <w:tcPr>
            <w:tcW w:w="557"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174670C"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lastRenderedPageBreak/>
              <w:t>3</w:t>
            </w:r>
          </w:p>
        </w:tc>
        <w:tc>
          <w:tcPr>
            <w:tcW w:w="1848"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9A23B2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安全管理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FC45AD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通过访谈、检查、测试对安全管理员身份鉴别、命令或操作管理、操作审计，以及是否通过安全管理员对安全策略、参数进行配置等。</w:t>
            </w:r>
          </w:p>
        </w:tc>
      </w:tr>
      <w:tr w:rsidR="007F6CDA" w14:paraId="7A826008" w14:textId="77777777">
        <w:tc>
          <w:tcPr>
            <w:tcW w:w="557"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A064530"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4</w:t>
            </w:r>
          </w:p>
        </w:tc>
        <w:tc>
          <w:tcPr>
            <w:tcW w:w="1848"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D990CE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集中管控</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3915BF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测试是否具有特定的管理区域，对分布在网络中的安全设备或安全组件进行集中管控，对网络链路、安全设备、网络设备和服务的运行进行集中监测，对分散在各设备上的审计数据进行收集汇总和集中分析，并确保记录留存符合法律法规要求，</w:t>
            </w:r>
            <w:r>
              <w:rPr>
                <w:rFonts w:ascii="仿宋" w:eastAsia="仿宋" w:hAnsi="仿宋" w:cs="仿宋_GB2312"/>
                <w:sz w:val="24"/>
                <w:szCs w:val="24"/>
              </w:rPr>
              <w:t>对安全策略、恶意代码、升级补丁等安全相关事项进行集中管理，对网络中发生的各类安全事件进行识别、报警和分析等。</w:t>
            </w:r>
          </w:p>
        </w:tc>
      </w:tr>
    </w:tbl>
    <w:p w14:paraId="76AB076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6</w:t>
      </w:r>
      <w:r>
        <w:rPr>
          <w:rFonts w:ascii="仿宋" w:eastAsia="仿宋" w:hAnsi="仿宋" w:cs="仿宋_GB2312"/>
          <w:sz w:val="24"/>
          <w:szCs w:val="24"/>
        </w:rPr>
        <w:t>）安全管理制度</w:t>
      </w:r>
    </w:p>
    <w:tbl>
      <w:tblPr>
        <w:tblW w:w="9351" w:type="dxa"/>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679"/>
        <w:gridCol w:w="1443"/>
        <w:gridCol w:w="7229"/>
      </w:tblGrid>
      <w:tr w:rsidR="007F6CDA" w14:paraId="4FBEA916" w14:textId="77777777">
        <w:tc>
          <w:tcPr>
            <w:tcW w:w="6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1A487F19"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序号</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6A4092DC"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工作单元名称</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4A4EE547"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工作单元描述</w:t>
            </w:r>
          </w:p>
        </w:tc>
      </w:tr>
      <w:tr w:rsidR="007F6CDA" w14:paraId="5E05CDA6"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0699818"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w:t>
            </w:r>
          </w:p>
        </w:tc>
        <w:tc>
          <w:tcPr>
            <w:tcW w:w="1443"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DFCA82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安全策略</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0CC05C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通过访谈、检查网络安全工作的总体方针及安全策略是否全面、完善。</w:t>
            </w:r>
          </w:p>
        </w:tc>
      </w:tr>
      <w:tr w:rsidR="007F6CDA" w14:paraId="45132B78"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FAF41FB"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2</w:t>
            </w:r>
          </w:p>
        </w:tc>
        <w:tc>
          <w:tcPr>
            <w:tcW w:w="1443"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1830A8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管理制度</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B36EC4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通过访谈、检查管理制度的制定和发布过程是否遵循一定的流程。</w:t>
            </w:r>
          </w:p>
        </w:tc>
      </w:tr>
      <w:tr w:rsidR="007F6CDA" w14:paraId="11B78938"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B7785F8"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3</w:t>
            </w:r>
          </w:p>
        </w:tc>
        <w:tc>
          <w:tcPr>
            <w:tcW w:w="1443"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35B39B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制度和发布</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DC2B57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通过访谈、检查管理制度定期评审和修订情况。</w:t>
            </w:r>
          </w:p>
        </w:tc>
      </w:tr>
      <w:tr w:rsidR="007F6CDA" w14:paraId="427F0B85"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917E2AA"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4</w:t>
            </w:r>
          </w:p>
        </w:tc>
        <w:tc>
          <w:tcPr>
            <w:tcW w:w="1443"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45F6BE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评审和修订</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BBA3B3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通过访谈、检查管理制度在内容覆盖上是否全面、完善。</w:t>
            </w:r>
          </w:p>
        </w:tc>
      </w:tr>
    </w:tbl>
    <w:p w14:paraId="1EE9B2E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7</w:t>
      </w:r>
      <w:r>
        <w:rPr>
          <w:rFonts w:ascii="仿宋" w:eastAsia="仿宋" w:hAnsi="仿宋" w:cs="仿宋_GB2312"/>
          <w:sz w:val="24"/>
          <w:szCs w:val="24"/>
        </w:rPr>
        <w:t>）安全管理机构</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671"/>
        <w:gridCol w:w="1451"/>
        <w:gridCol w:w="7229"/>
      </w:tblGrid>
      <w:tr w:rsidR="007F6CDA" w14:paraId="27ADD8BA" w14:textId="77777777">
        <w:tc>
          <w:tcPr>
            <w:tcW w:w="67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0681FE20"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序号</w:t>
            </w:r>
          </w:p>
        </w:tc>
        <w:tc>
          <w:tcPr>
            <w:tcW w:w="145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43FEC4CD"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工作单元名称</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1FD0C8A3"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工作单元描述</w:t>
            </w:r>
          </w:p>
        </w:tc>
      </w:tr>
      <w:tr w:rsidR="007F6CDA" w14:paraId="0208672C" w14:textId="77777777">
        <w:tc>
          <w:tcPr>
            <w:tcW w:w="67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360244C"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w:t>
            </w:r>
          </w:p>
        </w:tc>
        <w:tc>
          <w:tcPr>
            <w:tcW w:w="145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A5D517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岗位设置</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90A7A7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通过访谈、检查安全主管部门设置情况以及各岗位设置和岗位职责情况。</w:t>
            </w:r>
          </w:p>
        </w:tc>
      </w:tr>
      <w:tr w:rsidR="007F6CDA" w14:paraId="194EE4DA" w14:textId="77777777">
        <w:tc>
          <w:tcPr>
            <w:tcW w:w="67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76AAAD9"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2</w:t>
            </w:r>
          </w:p>
        </w:tc>
        <w:tc>
          <w:tcPr>
            <w:tcW w:w="145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2291296"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人员配备</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CBAE77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通过访谈、检查各个岗位人员配备情况。</w:t>
            </w:r>
          </w:p>
        </w:tc>
      </w:tr>
      <w:tr w:rsidR="007F6CDA" w14:paraId="3BC506BB" w14:textId="77777777">
        <w:tc>
          <w:tcPr>
            <w:tcW w:w="67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2AE3526"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3</w:t>
            </w:r>
          </w:p>
        </w:tc>
        <w:tc>
          <w:tcPr>
            <w:tcW w:w="145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0399DE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授权和审批</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D6AF85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通过访谈、检查对关键活动的授权和审批情况。</w:t>
            </w:r>
          </w:p>
        </w:tc>
      </w:tr>
      <w:tr w:rsidR="007F6CDA" w14:paraId="5FB221D4" w14:textId="77777777">
        <w:tc>
          <w:tcPr>
            <w:tcW w:w="67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09FFC8B"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4</w:t>
            </w:r>
          </w:p>
        </w:tc>
        <w:tc>
          <w:tcPr>
            <w:tcW w:w="145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4A8145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沟通和合作</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F21687C"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通过访谈、检查内部部门间、与外部单位间的沟通与合作情况。</w:t>
            </w:r>
          </w:p>
        </w:tc>
      </w:tr>
      <w:tr w:rsidR="007F6CDA" w14:paraId="443C0C56" w14:textId="77777777">
        <w:tc>
          <w:tcPr>
            <w:tcW w:w="67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FC8B87A"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lastRenderedPageBreak/>
              <w:t>5</w:t>
            </w:r>
          </w:p>
        </w:tc>
        <w:tc>
          <w:tcPr>
            <w:tcW w:w="1451"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25A00D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审核和检查</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1DE9D0F"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通过访谈、检查安全工作的审核和检查情况。</w:t>
            </w:r>
          </w:p>
        </w:tc>
      </w:tr>
    </w:tbl>
    <w:p w14:paraId="4EB2087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8</w:t>
      </w:r>
      <w:r>
        <w:rPr>
          <w:rFonts w:ascii="仿宋" w:eastAsia="仿宋" w:hAnsi="仿宋" w:cs="仿宋_GB2312"/>
          <w:sz w:val="24"/>
          <w:szCs w:val="24"/>
        </w:rPr>
        <w:t>）安全管理人员</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679"/>
        <w:gridCol w:w="1443"/>
        <w:gridCol w:w="7229"/>
      </w:tblGrid>
      <w:tr w:rsidR="007F6CDA" w14:paraId="6D7777EC" w14:textId="77777777">
        <w:tc>
          <w:tcPr>
            <w:tcW w:w="6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1EFAE903"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序号</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1AC9EBA3"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工作单元名称</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4F6193FF"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工作单元描述</w:t>
            </w:r>
          </w:p>
        </w:tc>
      </w:tr>
      <w:tr w:rsidR="007F6CDA" w14:paraId="53F3FB83"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B409438"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w:t>
            </w:r>
          </w:p>
        </w:tc>
        <w:tc>
          <w:tcPr>
            <w:tcW w:w="1443"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782E90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人员录用</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431C23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通过访谈、检查录用人员时是否对人员提出要求以及是否对其进行各种审查和考核。</w:t>
            </w:r>
          </w:p>
        </w:tc>
      </w:tr>
      <w:tr w:rsidR="007F6CDA" w14:paraId="74933AEF"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204BA63"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2</w:t>
            </w:r>
          </w:p>
        </w:tc>
        <w:tc>
          <w:tcPr>
            <w:tcW w:w="1443"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A6F541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人员离岗</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BF9ADF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通过访谈、检查人员离岗时是否按照一定的手续办理。</w:t>
            </w:r>
          </w:p>
        </w:tc>
      </w:tr>
      <w:tr w:rsidR="007F6CDA" w14:paraId="4DF4FB0D"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F48E619"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3</w:t>
            </w:r>
          </w:p>
        </w:tc>
        <w:tc>
          <w:tcPr>
            <w:tcW w:w="1443"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AB02FE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安全意识教育和培训</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42AEDE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通过访谈、检查是否对人员进行安全方面的教育和培训。</w:t>
            </w:r>
          </w:p>
        </w:tc>
      </w:tr>
      <w:tr w:rsidR="007F6CDA" w14:paraId="00FCA7FB"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A4FF68B"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4</w:t>
            </w:r>
          </w:p>
        </w:tc>
        <w:tc>
          <w:tcPr>
            <w:tcW w:w="1443"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8B1FDA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外部人员访问管理</w:t>
            </w:r>
          </w:p>
        </w:tc>
        <w:tc>
          <w:tcPr>
            <w:tcW w:w="722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F5CAA4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通过访谈、检查对第三方人员访问（物理、逻辑）系统是否采取必要控制措施。</w:t>
            </w:r>
          </w:p>
        </w:tc>
      </w:tr>
    </w:tbl>
    <w:p w14:paraId="77C5014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9</w:t>
      </w:r>
      <w:r>
        <w:rPr>
          <w:rFonts w:ascii="仿宋" w:eastAsia="仿宋" w:hAnsi="仿宋" w:cs="仿宋_GB2312"/>
          <w:sz w:val="24"/>
          <w:szCs w:val="24"/>
        </w:rPr>
        <w:t>）安全建设管理</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679"/>
        <w:gridCol w:w="1726"/>
        <w:gridCol w:w="6946"/>
      </w:tblGrid>
      <w:tr w:rsidR="007F6CDA" w14:paraId="00C7F867" w14:textId="77777777">
        <w:tc>
          <w:tcPr>
            <w:tcW w:w="6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5BCEEA5E"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序号</w:t>
            </w:r>
          </w:p>
        </w:tc>
        <w:tc>
          <w:tcPr>
            <w:tcW w:w="1726"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2C01FAFB"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工作单元名称</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63063910"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工作单元描述</w:t>
            </w:r>
          </w:p>
        </w:tc>
      </w:tr>
      <w:tr w:rsidR="007F6CDA" w14:paraId="1485889A"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29135E0"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7CC9D8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定级和备案</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FC4308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通过访谈、检查是否按照一定要求确定系统的安全等级。</w:t>
            </w:r>
          </w:p>
        </w:tc>
      </w:tr>
      <w:tr w:rsidR="007F6CDA" w14:paraId="116D1DE0"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1D63736"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2</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211067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安全方案设计</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231894E"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通过访谈、检查整体的安全规划设计是否按照一定流程进行。</w:t>
            </w:r>
          </w:p>
        </w:tc>
      </w:tr>
      <w:tr w:rsidR="007F6CDA" w14:paraId="00237CA4"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21FD81E"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3</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AB2C426"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产品采购和使用</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71BCA0E"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通过访谈、检查是否按照一定的要求进行系统的产品采购。</w:t>
            </w:r>
          </w:p>
        </w:tc>
      </w:tr>
      <w:tr w:rsidR="007F6CDA" w14:paraId="7EEA181F"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C71554D"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4</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2E24DE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自行软件开发</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ED28FF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通过访谈、检查自行开发的软件是否采取必要的措施保证开发过程的安全性。</w:t>
            </w:r>
          </w:p>
        </w:tc>
      </w:tr>
      <w:tr w:rsidR="007F6CDA" w14:paraId="03AF0B20"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5AC6734"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5</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2001F2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外包软件开发</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9B8700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通过访谈、检查外包开发的软件是否采取必要的措施保证开发过程的安全性和日后的维护工作能够正常开展。</w:t>
            </w:r>
          </w:p>
        </w:tc>
      </w:tr>
      <w:tr w:rsidR="007F6CDA" w14:paraId="64801B78"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D4A75C8"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6</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C956B7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工程实施</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B48D77F"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通过访谈、检查建设的实施过程是否采取必要的措施使其在机构可控的范围内进行。</w:t>
            </w:r>
          </w:p>
        </w:tc>
      </w:tr>
      <w:tr w:rsidR="007F6CDA" w14:paraId="48297463"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1AAC002"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7</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E94D86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测试验收</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F3ED2C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通过访谈、检查系统运行前是否对其进行测试验收工作。</w:t>
            </w:r>
          </w:p>
        </w:tc>
      </w:tr>
      <w:tr w:rsidR="007F6CDA" w14:paraId="2ABC3EF5"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962CE1B"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lastRenderedPageBreak/>
              <w:t>8</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E89E156"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系统交付</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A96801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通过访谈、检查是否采取必要的措施对系统交付过程进行有效控制。</w:t>
            </w:r>
          </w:p>
        </w:tc>
      </w:tr>
      <w:tr w:rsidR="007F6CDA" w14:paraId="7B8D4EF5"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2C7FF9E"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9</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DA6163C"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等级测评</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7AFBA5E"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通过访谈、检查等级测评、整改情况。</w:t>
            </w:r>
          </w:p>
        </w:tc>
      </w:tr>
      <w:tr w:rsidR="007F6CDA" w14:paraId="30B498BA"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71B10A6"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10</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45AB60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服务商选择</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706F36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通过访谈、检查是否选择符合国家有关规定的安全服务单位进行相关的安全服务工作。</w:t>
            </w:r>
          </w:p>
        </w:tc>
      </w:tr>
    </w:tbl>
    <w:p w14:paraId="1B53D70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10</w:t>
      </w:r>
      <w:r>
        <w:rPr>
          <w:rFonts w:ascii="仿宋" w:eastAsia="仿宋" w:hAnsi="仿宋" w:cs="仿宋_GB2312"/>
          <w:sz w:val="24"/>
          <w:szCs w:val="24"/>
        </w:rPr>
        <w:t>）安全运维管理</w:t>
      </w:r>
    </w:p>
    <w:tbl>
      <w:tblPr>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679"/>
        <w:gridCol w:w="1726"/>
        <w:gridCol w:w="6946"/>
      </w:tblGrid>
      <w:tr w:rsidR="007F6CDA" w14:paraId="52786267" w14:textId="77777777">
        <w:tc>
          <w:tcPr>
            <w:tcW w:w="6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7A6D4856"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序号</w:t>
            </w:r>
          </w:p>
        </w:tc>
        <w:tc>
          <w:tcPr>
            <w:tcW w:w="1726"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4D7D03CD"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工作单元名称</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5" w:type="dxa"/>
              <w:bottom w:w="60" w:type="dxa"/>
              <w:right w:w="105" w:type="dxa"/>
            </w:tcMar>
          </w:tcPr>
          <w:p w14:paraId="5007B35A"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工作单元描述</w:t>
            </w:r>
          </w:p>
        </w:tc>
      </w:tr>
      <w:tr w:rsidR="007F6CDA" w14:paraId="5EB73945"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F63FA08"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97C055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环境管理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5E5749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通过访谈、检查是否采取必要的措施对机房的出入控制以及办公环境的人员行为等方面进行安全管理。</w:t>
            </w:r>
          </w:p>
        </w:tc>
      </w:tr>
      <w:tr w:rsidR="007F6CDA" w14:paraId="36AD0E42"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61CF98A"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2</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09DE51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资产管理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469B76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通过访谈、检查是否采取必要的措施对系统的资产进行分类标识管理。</w:t>
            </w:r>
          </w:p>
        </w:tc>
      </w:tr>
      <w:tr w:rsidR="007F6CDA" w14:paraId="234C9B5E"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808C3C8"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3</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34BA64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介质管理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836A45F"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通过访谈、检查是否采取必要的措施对介质存放环境、使用、维护和销毁等方面进行管理。</w:t>
            </w:r>
          </w:p>
        </w:tc>
      </w:tr>
      <w:tr w:rsidR="007F6CDA" w14:paraId="050D5661"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CF12A3B"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4</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AEE056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设备维护管理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85236C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通过访谈、检查是否采取必要的措施确保设备在使用、维护和销毁等过程安全。</w:t>
            </w:r>
          </w:p>
        </w:tc>
      </w:tr>
      <w:tr w:rsidR="007F6CDA" w14:paraId="6B065F7A"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BB77D1C"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5</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9478C0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漏洞和风险管理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8D33E3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通过访谈、检查安全漏洞和隐患识别、处理情况，以及是否定期开展安全测评以及安全问题的应对措施。</w:t>
            </w:r>
          </w:p>
        </w:tc>
      </w:tr>
      <w:tr w:rsidR="007F6CDA" w14:paraId="4F4E65CA"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E89BE8F"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6</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5605BE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网络和系统安全管理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CB177D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采取必要的措施对系统的安全配置、系统账户、漏洞扫描和审计日志等方面进行有效地管理。是否采取必要的措施对网络的安全配置、网络用户权限和审计日志等方面进行有效地管理，确保网络安全运行。</w:t>
            </w:r>
          </w:p>
        </w:tc>
      </w:tr>
      <w:tr w:rsidR="007F6CDA" w14:paraId="2F0420EB"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DA3E08F"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7</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2EA902F"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恶意代码防范管理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BAA4AC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通过访谈、检查是否采取必要的措施对恶意代码进行有效管理，确保系统具有恶意代码防范能力。</w:t>
            </w:r>
          </w:p>
        </w:tc>
      </w:tr>
      <w:tr w:rsidR="007F6CDA" w14:paraId="2E7B1A65"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C6FA2AC"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8</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1C08F6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配置管理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3494F7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通过访谈、检查基本配置信息管理情况</w:t>
            </w:r>
          </w:p>
        </w:tc>
      </w:tr>
      <w:tr w:rsidR="007F6CDA" w14:paraId="3AFA298F"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3B06012"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lastRenderedPageBreak/>
              <w:t>9</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062790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密码管理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3CCA610E"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通过访谈、检查是否能够确保信息系统中密码算法和密钥的使用符合国家密码管理规定。</w:t>
            </w:r>
          </w:p>
        </w:tc>
      </w:tr>
      <w:tr w:rsidR="007F6CDA" w14:paraId="689647D2"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A1913C4"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10</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F17FE4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变更管理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681B1FE"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通过访谈、检查是否采取必要的措施对系统发生的变更进行有效管理。</w:t>
            </w:r>
          </w:p>
        </w:tc>
      </w:tr>
      <w:tr w:rsidR="007F6CDA" w14:paraId="69F83410"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84E2884"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11</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1975390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备份与恢复管理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4118A82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通过访谈、检查是否采取必要的措施对重要业务信息，系统数据和系统软件进行备份，并确保必要时能够对这些数据有效地恢复。</w:t>
            </w:r>
          </w:p>
        </w:tc>
      </w:tr>
      <w:tr w:rsidR="007F6CDA" w14:paraId="6E2A2C3D"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1F23DB9"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12</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7536E25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安全事件处置</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595C81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通过访谈、检查是否采取必要的措施对安全事件进行等级划分和对安全事件的报告、处理过程进行有效地管理。</w:t>
            </w:r>
          </w:p>
        </w:tc>
      </w:tr>
      <w:tr w:rsidR="007F6CDA" w14:paraId="7B96E54E"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2F01319"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13</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2F19988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应急预案管理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03FC27FE"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通过访谈、检查是否针对不同安全事件制定相应的应急预案，是否对应急预案展开培训、演练和审查等。</w:t>
            </w:r>
          </w:p>
        </w:tc>
      </w:tr>
      <w:tr w:rsidR="007F6CDA" w14:paraId="357278F5" w14:textId="77777777">
        <w:tc>
          <w:tcPr>
            <w:tcW w:w="679"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6E7DDB7"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14</w:t>
            </w:r>
          </w:p>
        </w:tc>
        <w:tc>
          <w:tcPr>
            <w:tcW w:w="172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6831A366"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外包运维管理</w:t>
            </w:r>
          </w:p>
        </w:tc>
        <w:tc>
          <w:tcPr>
            <w:tcW w:w="6946" w:type="dxa"/>
            <w:tcBorders>
              <w:top w:val="nil"/>
              <w:left w:val="single" w:sz="4" w:space="0" w:color="000000"/>
              <w:bottom w:val="single" w:sz="4" w:space="0" w:color="000000"/>
              <w:right w:val="single" w:sz="4" w:space="0" w:color="000000"/>
            </w:tcBorders>
            <w:tcMar>
              <w:top w:w="60" w:type="dxa"/>
              <w:left w:w="105" w:type="dxa"/>
              <w:bottom w:w="60" w:type="dxa"/>
              <w:right w:w="105" w:type="dxa"/>
            </w:tcMar>
          </w:tcPr>
          <w:p w14:paraId="53566BC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通过访谈、检查外包运维服务商选择是否符合国家要求，外包运维保密、服务内容管理等。</w:t>
            </w:r>
          </w:p>
        </w:tc>
      </w:tr>
    </w:tbl>
    <w:p w14:paraId="03970E8C"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11</w:t>
      </w:r>
      <w:r>
        <w:rPr>
          <w:rFonts w:ascii="仿宋" w:eastAsia="仿宋" w:hAnsi="仿宋" w:cs="仿宋_GB2312"/>
          <w:sz w:val="24"/>
          <w:szCs w:val="24"/>
        </w:rPr>
        <w:t>）安全扩展要求</w:t>
      </w:r>
    </w:p>
    <w:p w14:paraId="5515C58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按照测评系统的具体情况选用云计算安全扩展要求、移动互联安全扩展要求、物联网安全扩展要求、工业控制系统安全扩展要求。</w:t>
      </w:r>
    </w:p>
    <w:p w14:paraId="3F47E6D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12</w:t>
      </w:r>
      <w:r>
        <w:rPr>
          <w:rFonts w:ascii="仿宋" w:eastAsia="仿宋" w:hAnsi="仿宋" w:cs="仿宋_GB2312"/>
          <w:sz w:val="24"/>
          <w:szCs w:val="24"/>
        </w:rPr>
        <w:t>）验证测试相关要求</w:t>
      </w:r>
    </w:p>
    <w:p w14:paraId="446FD0A6"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按照等级保护测评要求，测评过程中应配备必要的工具、仪器</w:t>
      </w:r>
      <w:r>
        <w:rPr>
          <w:rFonts w:ascii="仿宋" w:eastAsia="仿宋" w:hAnsi="仿宋" w:cs="仿宋_GB2312"/>
          <w:sz w:val="24"/>
          <w:szCs w:val="24"/>
        </w:rPr>
        <w:t>/</w:t>
      </w:r>
      <w:r>
        <w:rPr>
          <w:rFonts w:ascii="仿宋" w:eastAsia="仿宋" w:hAnsi="仿宋" w:cs="仿宋_GB2312"/>
          <w:sz w:val="24"/>
          <w:szCs w:val="24"/>
        </w:rPr>
        <w:t>设备对信息系统进行验证测试，采用的测评工具的生产商应为正规厂商。</w:t>
      </w:r>
    </w:p>
    <w:p w14:paraId="10A4448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验证测试内容包括但不限于以</w:t>
      </w:r>
      <w:r>
        <w:rPr>
          <w:rFonts w:ascii="仿宋" w:eastAsia="仿宋" w:hAnsi="仿宋" w:cs="仿宋_GB2312"/>
          <w:sz w:val="24"/>
          <w:szCs w:val="24"/>
        </w:rPr>
        <w:t>下内容：</w:t>
      </w:r>
    </w:p>
    <w:p w14:paraId="08E5A8D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1.</w:t>
      </w:r>
      <w:r>
        <w:rPr>
          <w:rFonts w:ascii="仿宋" w:eastAsia="仿宋" w:hAnsi="仿宋" w:cs="仿宋_GB2312"/>
          <w:sz w:val="24"/>
          <w:szCs w:val="24"/>
        </w:rPr>
        <w:t>渗透测试</w:t>
      </w:r>
    </w:p>
    <w:p w14:paraId="6D8A0F1F"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验证安全策略正确性；保证用户登录窗体身份验证的安全性；非授权用户不能浏览到未授权内容；不存在跨站点脚本攻击漏洞；脚本不存在</w:t>
      </w:r>
      <w:r>
        <w:rPr>
          <w:rFonts w:ascii="仿宋" w:eastAsia="仿宋" w:hAnsi="仿宋" w:cs="仿宋_GB2312"/>
          <w:sz w:val="24"/>
          <w:szCs w:val="24"/>
        </w:rPr>
        <w:t>SQL</w:t>
      </w:r>
      <w:r>
        <w:rPr>
          <w:rFonts w:ascii="仿宋" w:eastAsia="仿宋" w:hAnsi="仿宋" w:cs="仿宋_GB2312"/>
          <w:sz w:val="24"/>
          <w:szCs w:val="24"/>
        </w:rPr>
        <w:t>、</w:t>
      </w:r>
      <w:r>
        <w:rPr>
          <w:rFonts w:ascii="仿宋" w:eastAsia="仿宋" w:hAnsi="仿宋" w:cs="仿宋_GB2312"/>
          <w:sz w:val="24"/>
          <w:szCs w:val="24"/>
        </w:rPr>
        <w:t>Cookie</w:t>
      </w:r>
      <w:r>
        <w:rPr>
          <w:rFonts w:ascii="仿宋" w:eastAsia="仿宋" w:hAnsi="仿宋" w:cs="仿宋_GB2312"/>
          <w:sz w:val="24"/>
          <w:szCs w:val="24"/>
        </w:rPr>
        <w:t>注入漏洞；安全的处理异常，没有出错页面泄露系统信息；应用和系统漏洞及其他，并提出整改建议。验证内容包括（但不限于）以下几个方面：</w:t>
      </w:r>
    </w:p>
    <w:tbl>
      <w:tblPr>
        <w:tblW w:w="0" w:type="auto"/>
        <w:tblInd w:w="585" w:type="dxa"/>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4247"/>
        <w:gridCol w:w="4259"/>
      </w:tblGrid>
      <w:tr w:rsidR="007F6CDA" w14:paraId="001B0B26" w14:textId="77777777">
        <w:trPr>
          <w:trHeight w:val="382"/>
        </w:trPr>
        <w:tc>
          <w:tcPr>
            <w:tcW w:w="4247"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6473171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注入</w:t>
            </w:r>
          </w:p>
        </w:tc>
        <w:tc>
          <w:tcPr>
            <w:tcW w:w="4259"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2E4AA14E"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失效的身份认证</w:t>
            </w:r>
          </w:p>
        </w:tc>
      </w:tr>
      <w:tr w:rsidR="007F6CDA" w14:paraId="2933309D" w14:textId="77777777">
        <w:trPr>
          <w:trHeight w:val="382"/>
        </w:trPr>
        <w:tc>
          <w:tcPr>
            <w:tcW w:w="424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887742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敏感信息泄露</w:t>
            </w:r>
          </w:p>
        </w:tc>
        <w:tc>
          <w:tcPr>
            <w:tcW w:w="42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F805469"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XML</w:t>
            </w:r>
            <w:r>
              <w:rPr>
                <w:rFonts w:ascii="仿宋" w:eastAsia="仿宋" w:hAnsi="仿宋" w:cs="仿宋_GB2312"/>
                <w:sz w:val="24"/>
                <w:szCs w:val="24"/>
              </w:rPr>
              <w:t>外部实体（</w:t>
            </w:r>
            <w:r>
              <w:rPr>
                <w:rFonts w:ascii="仿宋" w:eastAsia="仿宋" w:hAnsi="仿宋" w:cs="仿宋_GB2312"/>
                <w:sz w:val="24"/>
                <w:szCs w:val="24"/>
              </w:rPr>
              <w:t>XXE</w:t>
            </w:r>
            <w:r>
              <w:rPr>
                <w:rFonts w:ascii="仿宋" w:eastAsia="仿宋" w:hAnsi="仿宋" w:cs="仿宋_GB2312"/>
                <w:sz w:val="24"/>
                <w:szCs w:val="24"/>
              </w:rPr>
              <w:t>）</w:t>
            </w:r>
          </w:p>
        </w:tc>
      </w:tr>
      <w:tr w:rsidR="007F6CDA" w14:paraId="1D7AA4A7" w14:textId="77777777">
        <w:trPr>
          <w:trHeight w:val="375"/>
        </w:trPr>
        <w:tc>
          <w:tcPr>
            <w:tcW w:w="424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BDCC33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失效的访问控制</w:t>
            </w:r>
          </w:p>
        </w:tc>
        <w:tc>
          <w:tcPr>
            <w:tcW w:w="42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F3ACA95"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安全配置错误</w:t>
            </w:r>
          </w:p>
        </w:tc>
      </w:tr>
      <w:tr w:rsidR="007F6CDA" w14:paraId="01BA4369" w14:textId="77777777">
        <w:trPr>
          <w:trHeight w:val="382"/>
        </w:trPr>
        <w:tc>
          <w:tcPr>
            <w:tcW w:w="424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50B4B1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lastRenderedPageBreak/>
              <w:t>跨站脚本（</w:t>
            </w:r>
            <w:r>
              <w:rPr>
                <w:rFonts w:ascii="仿宋" w:eastAsia="仿宋" w:hAnsi="仿宋" w:cs="仿宋_GB2312"/>
                <w:sz w:val="24"/>
                <w:szCs w:val="24"/>
              </w:rPr>
              <w:t>XSS</w:t>
            </w:r>
            <w:r>
              <w:rPr>
                <w:rFonts w:ascii="仿宋" w:eastAsia="仿宋" w:hAnsi="仿宋" w:cs="仿宋_GB2312"/>
                <w:sz w:val="24"/>
                <w:szCs w:val="24"/>
              </w:rPr>
              <w:t>）</w:t>
            </w:r>
          </w:p>
        </w:tc>
        <w:tc>
          <w:tcPr>
            <w:tcW w:w="42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D4BD86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不安全的反序列化</w:t>
            </w:r>
          </w:p>
        </w:tc>
      </w:tr>
      <w:tr w:rsidR="007F6CDA" w14:paraId="3FFBD919" w14:textId="77777777">
        <w:trPr>
          <w:trHeight w:val="765"/>
        </w:trPr>
        <w:tc>
          <w:tcPr>
            <w:tcW w:w="424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1B8D20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使用含有已知漏洞的组件</w:t>
            </w:r>
          </w:p>
        </w:tc>
        <w:tc>
          <w:tcPr>
            <w:tcW w:w="425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A5D7FC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不足的日志记录和监控</w:t>
            </w:r>
          </w:p>
        </w:tc>
      </w:tr>
    </w:tbl>
    <w:p w14:paraId="3BC46BD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2.</w:t>
      </w:r>
      <w:r>
        <w:rPr>
          <w:rFonts w:ascii="仿宋" w:eastAsia="仿宋" w:hAnsi="仿宋" w:cs="仿宋_GB2312"/>
          <w:sz w:val="24"/>
          <w:szCs w:val="24"/>
        </w:rPr>
        <w:t>漏洞扫描</w:t>
      </w:r>
    </w:p>
    <w:p w14:paraId="6475FDD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参照《</w:t>
      </w:r>
      <w:r>
        <w:rPr>
          <w:rFonts w:ascii="仿宋" w:eastAsia="仿宋" w:hAnsi="仿宋" w:cs="仿宋_GB2312"/>
          <w:sz w:val="24"/>
          <w:szCs w:val="24"/>
        </w:rPr>
        <w:t xml:space="preserve">GB/T </w:t>
      </w:r>
      <w:r>
        <w:rPr>
          <w:rFonts w:ascii="仿宋" w:eastAsia="仿宋" w:hAnsi="仿宋" w:cs="仿宋_GB2312"/>
          <w:sz w:val="24"/>
          <w:szCs w:val="24"/>
        </w:rPr>
        <w:t>30279-2020</w:t>
      </w:r>
      <w:r>
        <w:rPr>
          <w:rFonts w:ascii="仿宋" w:eastAsia="仿宋" w:hAnsi="仿宋" w:cs="仿宋_GB2312"/>
          <w:sz w:val="24"/>
          <w:szCs w:val="24"/>
        </w:rPr>
        <w:t>信息安全技术网络安全漏洞分级分类指南》等相关标准、规范要求对采购人被测信息系统的安全漏洞、应用服务器的安全漏洞、数据库的安全漏洞等内容进行测评。分析总结系统中存在的主要安全漏洞，指出系统中可能被利用的安全漏洞、系统配置错误等缺陷以及相应的安全加固意见、建议。</w:t>
      </w:r>
    </w:p>
    <w:p w14:paraId="1D974E9D" w14:textId="77777777" w:rsidR="007F6CDA" w:rsidRDefault="00535261">
      <w:pPr>
        <w:pStyle w:val="2"/>
        <w:rPr>
          <w:rFonts w:ascii="仿宋" w:eastAsia="仿宋" w:hAnsi="仿宋"/>
          <w:b/>
          <w:bCs/>
          <w:color w:val="auto"/>
          <w:sz w:val="24"/>
          <w:szCs w:val="24"/>
        </w:rPr>
      </w:pPr>
      <w:r>
        <w:rPr>
          <w:rFonts w:ascii="仿宋" w:eastAsia="仿宋" w:hAnsi="仿宋" w:hint="eastAsia"/>
          <w:b/>
          <w:bCs/>
          <w:color w:val="auto"/>
          <w:sz w:val="24"/>
          <w:szCs w:val="24"/>
        </w:rPr>
        <w:t>3</w:t>
      </w:r>
      <w:r>
        <w:rPr>
          <w:rFonts w:ascii="仿宋" w:eastAsia="仿宋" w:hAnsi="仿宋"/>
          <w:b/>
          <w:bCs/>
          <w:color w:val="auto"/>
          <w:sz w:val="24"/>
          <w:szCs w:val="24"/>
        </w:rPr>
        <w:t xml:space="preserve">.2 </w:t>
      </w:r>
      <w:r>
        <w:rPr>
          <w:rFonts w:ascii="仿宋" w:eastAsia="仿宋" w:hAnsi="仿宋"/>
          <w:b/>
          <w:bCs/>
          <w:color w:val="auto"/>
          <w:sz w:val="24"/>
          <w:szCs w:val="24"/>
        </w:rPr>
        <w:t>商用密码应用安全性评估要求</w:t>
      </w:r>
    </w:p>
    <w:p w14:paraId="50AF9109" w14:textId="77777777" w:rsidR="007F6CDA" w:rsidRDefault="00535261">
      <w:pPr>
        <w:pStyle w:val="null3"/>
        <w:spacing w:line="360" w:lineRule="auto"/>
        <w:rPr>
          <w:rFonts w:ascii="仿宋" w:eastAsia="仿宋" w:hAnsi="仿宋" w:hint="default"/>
          <w:b/>
          <w:bCs/>
          <w:sz w:val="24"/>
          <w:szCs w:val="24"/>
        </w:rPr>
      </w:pPr>
      <w:r>
        <w:rPr>
          <w:rFonts w:ascii="仿宋" w:eastAsia="仿宋" w:hAnsi="仿宋" w:cs="仿宋_GB2312"/>
          <w:b/>
          <w:bCs/>
          <w:sz w:val="24"/>
          <w:szCs w:val="24"/>
          <w:lang w:eastAsia="zh-CN"/>
        </w:rPr>
        <w:t>3</w:t>
      </w:r>
      <w:r>
        <w:rPr>
          <w:rFonts w:ascii="仿宋" w:eastAsia="仿宋" w:hAnsi="仿宋" w:cs="仿宋_GB2312"/>
          <w:b/>
          <w:bCs/>
          <w:sz w:val="24"/>
          <w:szCs w:val="24"/>
        </w:rPr>
        <w:t>.2.1</w:t>
      </w:r>
      <w:r>
        <w:rPr>
          <w:rFonts w:ascii="仿宋" w:eastAsia="仿宋" w:hAnsi="仿宋" w:cs="仿宋_GB2312"/>
          <w:b/>
          <w:bCs/>
          <w:sz w:val="24"/>
          <w:szCs w:val="24"/>
        </w:rPr>
        <w:t>物理和环境安全测评</w:t>
      </w:r>
    </w:p>
    <w:p w14:paraId="7A5BE25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针对“身份鉴别”、“电子门禁记录数据存储完整性”、“视频监控记录数据存储完整性”等物理和环境安全方面采取的密码保障措施进行各项测评，详细记录现场测评情况（如访谈记录、配置截图、抓包分析截图、产品照片等），完成单项及单元测评结果判定。</w:t>
      </w:r>
    </w:p>
    <w:p w14:paraId="32079FF7" w14:textId="77777777" w:rsidR="007F6CDA" w:rsidRDefault="00535261">
      <w:pPr>
        <w:pStyle w:val="null3"/>
        <w:spacing w:line="360" w:lineRule="auto"/>
        <w:rPr>
          <w:rFonts w:ascii="仿宋" w:eastAsia="仿宋" w:hAnsi="仿宋" w:hint="default"/>
          <w:b/>
          <w:bCs/>
          <w:sz w:val="24"/>
          <w:szCs w:val="24"/>
        </w:rPr>
      </w:pPr>
      <w:r>
        <w:rPr>
          <w:rFonts w:ascii="仿宋" w:eastAsia="仿宋" w:hAnsi="仿宋" w:cs="仿宋_GB2312"/>
          <w:b/>
          <w:bCs/>
          <w:sz w:val="24"/>
          <w:szCs w:val="24"/>
          <w:lang w:eastAsia="zh-CN"/>
        </w:rPr>
        <w:t>3</w:t>
      </w:r>
      <w:r>
        <w:rPr>
          <w:rFonts w:ascii="仿宋" w:eastAsia="仿宋" w:hAnsi="仿宋" w:cs="仿宋_GB2312"/>
          <w:b/>
          <w:bCs/>
          <w:sz w:val="24"/>
          <w:szCs w:val="24"/>
        </w:rPr>
        <w:t>.2.2</w:t>
      </w:r>
      <w:r>
        <w:rPr>
          <w:rFonts w:ascii="仿宋" w:eastAsia="仿宋" w:hAnsi="仿宋" w:cs="仿宋_GB2312"/>
          <w:b/>
          <w:bCs/>
          <w:sz w:val="24"/>
          <w:szCs w:val="24"/>
        </w:rPr>
        <w:t>网络和通信安全测评</w:t>
      </w:r>
    </w:p>
    <w:p w14:paraId="6990979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针对“身份鉴别”、“通信数据完整性”、“通信过程中重要数据的机密性”、“网络边界访问控制信息的完整性”、“安全接入认证”等网络和通信安全方面采取的密码保障措施进行各项测评，详细记录现场测评情况（如访谈记录、配置截图、抓包分析截图、产品照片等），完成</w:t>
      </w:r>
      <w:r>
        <w:rPr>
          <w:rFonts w:ascii="仿宋" w:eastAsia="仿宋" w:hAnsi="仿宋" w:cs="仿宋_GB2312"/>
          <w:sz w:val="24"/>
          <w:szCs w:val="24"/>
        </w:rPr>
        <w:t>单项及单元测评结果判定。</w:t>
      </w:r>
    </w:p>
    <w:p w14:paraId="6B13E23A" w14:textId="77777777" w:rsidR="007F6CDA" w:rsidRDefault="00535261">
      <w:pPr>
        <w:pStyle w:val="null3"/>
        <w:spacing w:line="360" w:lineRule="auto"/>
        <w:rPr>
          <w:rFonts w:ascii="仿宋" w:eastAsia="仿宋" w:hAnsi="仿宋" w:cs="仿宋_GB2312" w:hint="default"/>
          <w:b/>
          <w:bCs/>
          <w:sz w:val="24"/>
          <w:szCs w:val="24"/>
          <w:lang w:eastAsia="zh-CN"/>
        </w:rPr>
      </w:pPr>
      <w:r>
        <w:rPr>
          <w:rFonts w:ascii="仿宋" w:eastAsia="仿宋" w:hAnsi="仿宋" w:cs="仿宋_GB2312"/>
          <w:b/>
          <w:bCs/>
          <w:sz w:val="24"/>
          <w:szCs w:val="24"/>
          <w:lang w:eastAsia="zh-CN"/>
        </w:rPr>
        <w:t>2.2.3</w:t>
      </w:r>
      <w:r>
        <w:rPr>
          <w:rFonts w:ascii="仿宋" w:eastAsia="仿宋" w:hAnsi="仿宋" w:cs="仿宋_GB2312"/>
          <w:b/>
          <w:bCs/>
          <w:sz w:val="24"/>
          <w:szCs w:val="24"/>
          <w:lang w:eastAsia="zh-CN"/>
        </w:rPr>
        <w:t>设备和计算安全测评</w:t>
      </w:r>
    </w:p>
    <w:p w14:paraId="74DAC6A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针对“身份鉴别”、“远程管理通道安全”、“系统资源访问控制信息完整性”、“重要信息资源安全标记完整性”、“日志记录完整性”、“重要可执行程序完整性、重要可执行程序来源真实性”等设备和计算安全方面采取的密码保障措施进行各项测评，详细记录现场测评情况（如访谈记录、配置截图、抓包分析截图、产品照片等），完成单项及单元测评结果判定。</w:t>
      </w:r>
    </w:p>
    <w:p w14:paraId="0802D633" w14:textId="77777777" w:rsidR="007F6CDA" w:rsidRDefault="00535261">
      <w:pPr>
        <w:pStyle w:val="null3"/>
        <w:spacing w:line="360" w:lineRule="auto"/>
        <w:rPr>
          <w:rFonts w:ascii="仿宋" w:eastAsia="仿宋" w:hAnsi="仿宋" w:cs="仿宋_GB2312" w:hint="default"/>
          <w:b/>
          <w:bCs/>
          <w:sz w:val="24"/>
          <w:szCs w:val="24"/>
          <w:lang w:eastAsia="zh-CN"/>
        </w:rPr>
      </w:pPr>
      <w:r>
        <w:rPr>
          <w:rFonts w:ascii="仿宋" w:eastAsia="仿宋" w:hAnsi="仿宋" w:cs="仿宋_GB2312"/>
          <w:b/>
          <w:bCs/>
          <w:sz w:val="24"/>
          <w:szCs w:val="24"/>
          <w:lang w:eastAsia="zh-CN"/>
        </w:rPr>
        <w:t>3.2.4</w:t>
      </w:r>
      <w:r>
        <w:rPr>
          <w:rFonts w:ascii="仿宋" w:eastAsia="仿宋" w:hAnsi="仿宋" w:cs="仿宋_GB2312"/>
          <w:b/>
          <w:bCs/>
          <w:sz w:val="24"/>
          <w:szCs w:val="24"/>
          <w:lang w:eastAsia="zh-CN"/>
        </w:rPr>
        <w:t>应用和数据安全测评</w:t>
      </w:r>
    </w:p>
    <w:p w14:paraId="6FE00F8F"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针对“身份鉴别”、“访问控制信息完整性”、“重要信息资源安全标记完整性”、“重要数据传输机密性”、“重要数据存储机密性”、“重要数据传输完整性”、“重要数</w:t>
      </w:r>
      <w:r>
        <w:rPr>
          <w:rFonts w:ascii="仿宋" w:eastAsia="仿宋" w:hAnsi="仿宋" w:cs="仿宋_GB2312"/>
          <w:sz w:val="24"/>
          <w:szCs w:val="24"/>
        </w:rPr>
        <w:t>据存储完整性”、“不可否认性”等应用和数据安全方面采取的密码保障措施进行各项测</w:t>
      </w:r>
      <w:r>
        <w:rPr>
          <w:rFonts w:ascii="仿宋" w:eastAsia="仿宋" w:hAnsi="仿宋" w:cs="仿宋_GB2312"/>
          <w:sz w:val="24"/>
          <w:szCs w:val="24"/>
        </w:rPr>
        <w:lastRenderedPageBreak/>
        <w:t>评，详细记录现场测评情况（如访谈记录、配置截图、抓包分析截图、产品照片等），完成单项及单元测评结果判定。</w:t>
      </w:r>
    </w:p>
    <w:p w14:paraId="01C1C129" w14:textId="77777777" w:rsidR="007F6CDA" w:rsidRDefault="00535261">
      <w:pPr>
        <w:pStyle w:val="null3"/>
        <w:spacing w:line="360" w:lineRule="auto"/>
        <w:rPr>
          <w:rFonts w:ascii="仿宋" w:eastAsia="仿宋" w:hAnsi="仿宋" w:cs="仿宋_GB2312" w:hint="default"/>
          <w:b/>
          <w:bCs/>
          <w:sz w:val="24"/>
          <w:szCs w:val="24"/>
          <w:lang w:eastAsia="zh-CN"/>
        </w:rPr>
      </w:pPr>
      <w:r>
        <w:rPr>
          <w:rFonts w:ascii="仿宋" w:eastAsia="仿宋" w:hAnsi="仿宋" w:cs="仿宋_GB2312"/>
          <w:b/>
          <w:bCs/>
          <w:sz w:val="24"/>
          <w:szCs w:val="24"/>
          <w:lang w:eastAsia="zh-CN"/>
        </w:rPr>
        <w:t>3.2.5</w:t>
      </w:r>
      <w:r>
        <w:rPr>
          <w:rFonts w:ascii="仿宋" w:eastAsia="仿宋" w:hAnsi="仿宋" w:cs="仿宋_GB2312"/>
          <w:b/>
          <w:bCs/>
          <w:sz w:val="24"/>
          <w:szCs w:val="24"/>
          <w:lang w:eastAsia="zh-CN"/>
        </w:rPr>
        <w:t>密码应用管理测评</w:t>
      </w:r>
    </w:p>
    <w:p w14:paraId="011BFE1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从制度、人员、实施和应急四个方面进行安全管理测评，验证信息系统安全管理机制是否完善，是否能够确保密码技术被合规、正确、有效地实施。</w:t>
      </w:r>
    </w:p>
    <w:p w14:paraId="29EE803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1</w:t>
      </w:r>
      <w:r>
        <w:rPr>
          <w:rFonts w:ascii="仿宋" w:eastAsia="仿宋" w:hAnsi="仿宋" w:cs="仿宋_GB2312"/>
          <w:sz w:val="24"/>
          <w:szCs w:val="24"/>
        </w:rPr>
        <w:t>）管理制度测评</w:t>
      </w:r>
    </w:p>
    <w:p w14:paraId="3DB869C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针对“具备密码应用安全管理制度”、“密钥管理规则”、“建立操作规程”、“定期修订安全管理制度”、“明确管理制度发布流程”“制度执行过程记录留存”等管</w:t>
      </w:r>
      <w:r>
        <w:rPr>
          <w:rFonts w:ascii="仿宋" w:eastAsia="仿宋" w:hAnsi="仿宋" w:cs="仿宋_GB2312"/>
          <w:sz w:val="24"/>
          <w:szCs w:val="24"/>
        </w:rPr>
        <w:t>理制度方面采取的管理措施进行各项测评，详细记录现场测评情况，完成单项及单元测评结果判定。</w:t>
      </w:r>
    </w:p>
    <w:p w14:paraId="66BED4C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2</w:t>
      </w:r>
      <w:r>
        <w:rPr>
          <w:rFonts w:ascii="仿宋" w:eastAsia="仿宋" w:hAnsi="仿宋" w:cs="仿宋_GB2312"/>
          <w:sz w:val="24"/>
          <w:szCs w:val="24"/>
        </w:rPr>
        <w:t>）人员管理测评</w:t>
      </w:r>
    </w:p>
    <w:p w14:paraId="41F540B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针对“了解并遵守密码相关法律法规和密码管理制度”、“建立密码应用岗位责任制度”、“建立上岗人员培训制度”、“定期进行安全岗位人员考核”、“建立关键岗位人员保密制度和调离制度”等人员管理方面采取的管理措施进行各项测评，详细记录现场测评情况，完成单项及单元测评结果判定。</w:t>
      </w:r>
    </w:p>
    <w:p w14:paraId="78C07A54"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3</w:t>
      </w:r>
      <w:r>
        <w:rPr>
          <w:rFonts w:ascii="仿宋" w:eastAsia="仿宋" w:hAnsi="仿宋" w:cs="仿宋_GB2312"/>
          <w:sz w:val="24"/>
          <w:szCs w:val="24"/>
        </w:rPr>
        <w:t>）建设运行测评</w:t>
      </w:r>
    </w:p>
    <w:p w14:paraId="0B21DE2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针对“制定密码应用方案”、“制定密钥安全管理策略”、“制定实施方案”、“投入运行前进行密码应用安全性评估”、“定期</w:t>
      </w:r>
      <w:r>
        <w:rPr>
          <w:rFonts w:ascii="仿宋" w:eastAsia="仿宋" w:hAnsi="仿宋" w:cs="仿宋_GB2312"/>
          <w:sz w:val="24"/>
          <w:szCs w:val="24"/>
        </w:rPr>
        <w:t>开展密码应用安全性评估及攻防对抗演习”等建设运行方面采取的管理措施进行各项测评，详细记录现场测评情况，完成单项及单元测评结果判定。</w:t>
      </w:r>
    </w:p>
    <w:p w14:paraId="2D545EE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4</w:t>
      </w:r>
      <w:r>
        <w:rPr>
          <w:rFonts w:ascii="仿宋" w:eastAsia="仿宋" w:hAnsi="仿宋" w:cs="仿宋_GB2312"/>
          <w:sz w:val="24"/>
          <w:szCs w:val="24"/>
        </w:rPr>
        <w:t>）应急处置测评</w:t>
      </w:r>
    </w:p>
    <w:p w14:paraId="18C98A8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针对“应急策略”、“事件处置”、“向有关主管部门上报处置情况”等应急处置方面采取的管理措施进行各项测评，详细记录现场测评情况，完成单项及单元测评结果判定。</w:t>
      </w:r>
    </w:p>
    <w:p w14:paraId="06D32E64" w14:textId="77777777" w:rsidR="007F6CDA" w:rsidRDefault="00535261">
      <w:pPr>
        <w:pStyle w:val="null3"/>
        <w:spacing w:line="360" w:lineRule="auto"/>
        <w:rPr>
          <w:rFonts w:ascii="仿宋" w:eastAsia="仿宋" w:hAnsi="仿宋" w:cs="仿宋_GB2312" w:hint="default"/>
          <w:b/>
          <w:bCs/>
          <w:sz w:val="24"/>
          <w:szCs w:val="24"/>
          <w:lang w:eastAsia="zh-CN"/>
        </w:rPr>
      </w:pPr>
      <w:r>
        <w:rPr>
          <w:rFonts w:ascii="仿宋" w:eastAsia="仿宋" w:hAnsi="仿宋" w:cs="仿宋_GB2312"/>
          <w:b/>
          <w:bCs/>
          <w:sz w:val="24"/>
          <w:szCs w:val="24"/>
          <w:lang w:eastAsia="zh-CN"/>
        </w:rPr>
        <w:t>3.2.6</w:t>
      </w:r>
      <w:r>
        <w:rPr>
          <w:rFonts w:ascii="仿宋" w:eastAsia="仿宋" w:hAnsi="仿宋" w:cs="仿宋_GB2312"/>
          <w:b/>
          <w:bCs/>
          <w:sz w:val="24"/>
          <w:szCs w:val="24"/>
          <w:lang w:eastAsia="zh-CN"/>
        </w:rPr>
        <w:t>单元测评</w:t>
      </w:r>
    </w:p>
    <w:p w14:paraId="6EA7564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针对各测评指标中的各个测评对象，客观、准确地分析测评证据，对每个测评对象分别进行测评实施和结果判定。汇总各测评单元涉及的所有测评对象的测评实施结果，得出各测评单元的判定结果，并以表格的</w:t>
      </w:r>
      <w:r>
        <w:rPr>
          <w:rFonts w:ascii="仿宋" w:eastAsia="仿宋" w:hAnsi="仿宋" w:cs="仿宋_GB2312"/>
          <w:sz w:val="24"/>
          <w:szCs w:val="24"/>
        </w:rPr>
        <w:t>形式逐一列出。</w:t>
      </w:r>
    </w:p>
    <w:p w14:paraId="24A65C48" w14:textId="77777777" w:rsidR="007F6CDA" w:rsidRDefault="00535261">
      <w:pPr>
        <w:pStyle w:val="null3"/>
        <w:spacing w:line="360" w:lineRule="auto"/>
        <w:rPr>
          <w:rFonts w:ascii="仿宋" w:eastAsia="仿宋" w:hAnsi="仿宋" w:cs="仿宋_GB2312" w:hint="default"/>
          <w:b/>
          <w:bCs/>
          <w:sz w:val="24"/>
          <w:szCs w:val="24"/>
          <w:lang w:eastAsia="zh-CN"/>
        </w:rPr>
      </w:pPr>
      <w:r>
        <w:rPr>
          <w:rFonts w:ascii="仿宋" w:eastAsia="仿宋" w:hAnsi="仿宋" w:cs="仿宋_GB2312"/>
          <w:b/>
          <w:bCs/>
          <w:sz w:val="24"/>
          <w:szCs w:val="24"/>
          <w:lang w:eastAsia="zh-CN"/>
        </w:rPr>
        <w:t>3.2.7</w:t>
      </w:r>
      <w:r>
        <w:rPr>
          <w:rFonts w:ascii="仿宋" w:eastAsia="仿宋" w:hAnsi="仿宋" w:cs="仿宋_GB2312"/>
          <w:b/>
          <w:bCs/>
          <w:sz w:val="24"/>
          <w:szCs w:val="24"/>
          <w:lang w:eastAsia="zh-CN"/>
        </w:rPr>
        <w:t>整体测评</w:t>
      </w:r>
    </w:p>
    <w:p w14:paraId="1D2EF25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lastRenderedPageBreak/>
        <w:t>针对各个“部分符合”及“不符合”测评指标要求的测评对象，分析与其相关的其他单元、其他层面的测评对象能否和它发生关联关系，发生何种的关联关系，这些关联关系产生的作用是否可以“弥补”该测评对象的不足，以及该测评对象的不足是否会影响与其有关联关系的其他测评对象的测评结果。</w:t>
      </w:r>
    </w:p>
    <w:p w14:paraId="2D132E86" w14:textId="77777777" w:rsidR="007F6CDA" w:rsidRDefault="00535261">
      <w:pPr>
        <w:pStyle w:val="null3"/>
        <w:spacing w:line="360" w:lineRule="auto"/>
        <w:rPr>
          <w:rFonts w:ascii="仿宋" w:eastAsia="仿宋" w:hAnsi="仿宋" w:cs="仿宋_GB2312" w:hint="default"/>
          <w:b/>
          <w:bCs/>
          <w:sz w:val="24"/>
          <w:szCs w:val="24"/>
          <w:lang w:eastAsia="zh-CN"/>
        </w:rPr>
      </w:pPr>
      <w:r>
        <w:rPr>
          <w:rFonts w:ascii="仿宋" w:eastAsia="仿宋" w:hAnsi="仿宋" w:cs="仿宋_GB2312"/>
          <w:b/>
          <w:bCs/>
          <w:sz w:val="24"/>
          <w:szCs w:val="24"/>
          <w:lang w:eastAsia="zh-CN"/>
        </w:rPr>
        <w:t>3.2.8</w:t>
      </w:r>
      <w:r>
        <w:rPr>
          <w:rFonts w:ascii="仿宋" w:eastAsia="仿宋" w:hAnsi="仿宋" w:cs="仿宋_GB2312"/>
          <w:b/>
          <w:bCs/>
          <w:sz w:val="24"/>
          <w:szCs w:val="24"/>
          <w:lang w:eastAsia="zh-CN"/>
        </w:rPr>
        <w:t>量化评估</w:t>
      </w:r>
    </w:p>
    <w:p w14:paraId="53EC926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综合单元测评结果和整体测评结果，计算修正后的各测评指标的各个测评对象的测评结果得分、各测评单元得分、各安全层面得分和整体得分，并对被测信息系统的密码应用情况安全性进行总体评价。</w:t>
      </w:r>
    </w:p>
    <w:p w14:paraId="35B8B349" w14:textId="77777777" w:rsidR="007F6CDA" w:rsidRDefault="00535261">
      <w:pPr>
        <w:pStyle w:val="null3"/>
        <w:spacing w:line="360" w:lineRule="auto"/>
        <w:rPr>
          <w:rFonts w:ascii="仿宋" w:eastAsia="仿宋" w:hAnsi="仿宋" w:cs="仿宋_GB2312" w:hint="default"/>
          <w:b/>
          <w:bCs/>
          <w:sz w:val="24"/>
          <w:szCs w:val="24"/>
          <w:lang w:eastAsia="zh-CN"/>
        </w:rPr>
      </w:pPr>
      <w:r>
        <w:rPr>
          <w:rFonts w:ascii="仿宋" w:eastAsia="仿宋" w:hAnsi="仿宋" w:cs="仿宋_GB2312"/>
          <w:b/>
          <w:bCs/>
          <w:sz w:val="24"/>
          <w:szCs w:val="24"/>
          <w:lang w:eastAsia="zh-CN"/>
        </w:rPr>
        <w:t>3.2.9</w:t>
      </w:r>
      <w:r>
        <w:rPr>
          <w:rFonts w:ascii="仿宋" w:eastAsia="仿宋" w:hAnsi="仿宋" w:cs="仿宋_GB2312"/>
          <w:b/>
          <w:bCs/>
          <w:sz w:val="24"/>
          <w:szCs w:val="24"/>
          <w:lang w:eastAsia="zh-CN"/>
        </w:rPr>
        <w:t>风险分析</w:t>
      </w:r>
    </w:p>
    <w:p w14:paraId="09C2D0C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依据相关规范和标准，采用风险分析的方法，分析测评结果中存在的安全问题以及可能对被测信息系统安全造成的影响。</w:t>
      </w:r>
    </w:p>
    <w:p w14:paraId="11CF8922" w14:textId="77777777" w:rsidR="007F6CDA" w:rsidRDefault="00535261">
      <w:pPr>
        <w:pStyle w:val="null3"/>
        <w:spacing w:line="360" w:lineRule="auto"/>
        <w:rPr>
          <w:rFonts w:ascii="仿宋" w:eastAsia="仿宋" w:hAnsi="仿宋" w:cs="仿宋_GB2312" w:hint="default"/>
          <w:b/>
          <w:bCs/>
          <w:sz w:val="24"/>
          <w:szCs w:val="24"/>
          <w:lang w:eastAsia="zh-CN"/>
        </w:rPr>
      </w:pPr>
      <w:r>
        <w:rPr>
          <w:rFonts w:ascii="仿宋" w:eastAsia="仿宋" w:hAnsi="仿宋" w:cs="仿宋_GB2312"/>
          <w:b/>
          <w:bCs/>
          <w:sz w:val="24"/>
          <w:szCs w:val="24"/>
          <w:lang w:eastAsia="zh-CN"/>
        </w:rPr>
        <w:t>3.2.10</w:t>
      </w:r>
      <w:r>
        <w:rPr>
          <w:rFonts w:ascii="仿宋" w:eastAsia="仿宋" w:hAnsi="仿宋" w:cs="仿宋_GB2312"/>
          <w:b/>
          <w:bCs/>
          <w:sz w:val="24"/>
          <w:szCs w:val="24"/>
          <w:lang w:eastAsia="zh-CN"/>
        </w:rPr>
        <w:t>报告编制</w:t>
      </w:r>
    </w:p>
    <w:p w14:paraId="61CC8AF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根据评估结果，按照国家密码管理局要求，编制密码应用安全性评估报告。报告应对信息系统密码应用情况进行全面排查，查找风险漏洞，提出科学合规、具体实用、有针对性的密码应用安全整改方案，规范密码应用。</w:t>
      </w:r>
    </w:p>
    <w:p w14:paraId="7EFCB0C5" w14:textId="77777777" w:rsidR="007F6CDA" w:rsidRDefault="00535261">
      <w:pPr>
        <w:pStyle w:val="2"/>
        <w:rPr>
          <w:rFonts w:ascii="仿宋" w:eastAsia="仿宋" w:hAnsi="仿宋"/>
          <w:b/>
          <w:bCs/>
          <w:color w:val="auto"/>
          <w:sz w:val="24"/>
          <w:szCs w:val="24"/>
        </w:rPr>
      </w:pPr>
      <w:r>
        <w:rPr>
          <w:rFonts w:ascii="仿宋" w:eastAsia="仿宋" w:hAnsi="仿宋"/>
          <w:b/>
          <w:bCs/>
          <w:color w:val="auto"/>
          <w:sz w:val="24"/>
          <w:szCs w:val="24"/>
        </w:rPr>
        <w:t>（</w:t>
      </w:r>
      <w:r>
        <w:rPr>
          <w:rFonts w:ascii="仿宋" w:eastAsia="仿宋" w:hAnsi="仿宋" w:hint="eastAsia"/>
          <w:b/>
          <w:bCs/>
          <w:color w:val="auto"/>
          <w:sz w:val="24"/>
          <w:szCs w:val="24"/>
        </w:rPr>
        <w:t>四</w:t>
      </w:r>
      <w:r>
        <w:rPr>
          <w:rFonts w:ascii="仿宋" w:eastAsia="仿宋" w:hAnsi="仿宋"/>
          <w:b/>
          <w:bCs/>
          <w:color w:val="auto"/>
          <w:sz w:val="24"/>
          <w:szCs w:val="24"/>
        </w:rPr>
        <w:t>）服务要求</w:t>
      </w:r>
    </w:p>
    <w:p w14:paraId="3F1683D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1</w:t>
      </w:r>
      <w:r>
        <w:rPr>
          <w:rFonts w:ascii="仿宋" w:eastAsia="仿宋" w:hAnsi="仿宋" w:cs="仿宋_GB2312"/>
          <w:sz w:val="24"/>
          <w:szCs w:val="24"/>
        </w:rPr>
        <w:t>）供应商严格按照测评人员执业守则，按照国家相关法规、规范、标准及制定的测评方案、项目计划书、实施细则进行测评，在保证质量、安全的前提下，确保在项目规定的期限内按期完成。</w:t>
      </w:r>
    </w:p>
    <w:p w14:paraId="5DCD400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rPr>
        <w:t>2</w:t>
      </w:r>
      <w:r>
        <w:rPr>
          <w:rFonts w:ascii="仿宋" w:eastAsia="仿宋" w:hAnsi="仿宋" w:cs="仿宋_GB2312"/>
          <w:sz w:val="24"/>
          <w:szCs w:val="24"/>
        </w:rPr>
        <w:t>）供应商须协助、配合采购人与上级监管部门、公安机关、密码管理局的沟通协调。在测评过程中和测评完成后，协助、配合采购人进行相关的信息系统安全整改，确保已定级系统达到等级保护的相关要求，并通过公安机关的备案；确保已定级系统达到密码保护的相关要求，并通过密码管理局的备案。</w:t>
      </w:r>
    </w:p>
    <w:p w14:paraId="261D18DE" w14:textId="1167D920" w:rsidR="007F6CDA" w:rsidRDefault="00535261">
      <w:pPr>
        <w:pStyle w:val="null3"/>
        <w:spacing w:line="360" w:lineRule="auto"/>
        <w:rPr>
          <w:rFonts w:ascii="仿宋" w:eastAsia="仿宋" w:hAnsi="仿宋" w:hint="default"/>
          <w:color w:val="FF0000"/>
          <w:sz w:val="24"/>
          <w:szCs w:val="24"/>
        </w:rPr>
      </w:pPr>
      <w:r>
        <w:rPr>
          <w:rFonts w:ascii="仿宋" w:eastAsia="仿宋" w:hAnsi="仿宋" w:cs="仿宋_GB2312"/>
          <w:color w:val="000000"/>
          <w:sz w:val="24"/>
          <w:szCs w:val="24"/>
        </w:rPr>
        <w:t>（</w:t>
      </w:r>
      <w:r>
        <w:rPr>
          <w:rFonts w:ascii="仿宋" w:eastAsia="仿宋" w:hAnsi="仿宋" w:cs="仿宋_GB2312"/>
          <w:color w:val="000000"/>
          <w:sz w:val="24"/>
          <w:szCs w:val="24"/>
        </w:rPr>
        <w:t>3</w:t>
      </w:r>
      <w:r>
        <w:rPr>
          <w:rFonts w:ascii="仿宋" w:eastAsia="仿宋" w:hAnsi="仿宋" w:cs="仿宋_GB2312"/>
          <w:color w:val="000000"/>
          <w:sz w:val="24"/>
          <w:szCs w:val="24"/>
        </w:rPr>
        <w:t>）服务团队：供应商拟派本项目的</w:t>
      </w:r>
      <w:r>
        <w:rPr>
          <w:rFonts w:ascii="仿宋" w:eastAsia="仿宋" w:hAnsi="仿宋" w:cs="仿宋_GB2312"/>
          <w:color w:val="000000"/>
          <w:sz w:val="24"/>
          <w:szCs w:val="24"/>
          <w:lang w:eastAsia="zh-CN"/>
        </w:rPr>
        <w:t>团队人</w:t>
      </w:r>
      <w:r>
        <w:rPr>
          <w:rFonts w:ascii="仿宋" w:eastAsia="仿宋" w:hAnsi="仿宋" w:cs="仿宋_GB2312"/>
          <w:color w:val="FF0000"/>
          <w:sz w:val="24"/>
          <w:szCs w:val="24"/>
        </w:rPr>
        <w:t>员</w:t>
      </w:r>
      <w:r w:rsidR="008F6276">
        <w:rPr>
          <w:rFonts w:ascii="仿宋" w:eastAsia="仿宋" w:hAnsi="仿宋" w:cs="仿宋_GB2312"/>
          <w:color w:val="FF0000"/>
          <w:sz w:val="24"/>
          <w:szCs w:val="24"/>
          <w:lang w:eastAsia="zh-CN"/>
        </w:rPr>
        <w:t>6</w:t>
      </w:r>
      <w:r>
        <w:rPr>
          <w:rFonts w:ascii="仿宋" w:eastAsia="仿宋" w:hAnsi="仿宋" w:cs="仿宋_GB2312"/>
          <w:color w:val="FF0000"/>
          <w:sz w:val="24"/>
          <w:szCs w:val="24"/>
        </w:rPr>
        <w:t>人，包括项目经理</w:t>
      </w:r>
      <w:r>
        <w:rPr>
          <w:rFonts w:ascii="仿宋" w:eastAsia="仿宋" w:hAnsi="仿宋" w:cs="仿宋_GB2312"/>
          <w:color w:val="FF0000"/>
          <w:sz w:val="24"/>
          <w:szCs w:val="24"/>
        </w:rPr>
        <w:t>1</w:t>
      </w:r>
      <w:r>
        <w:rPr>
          <w:rFonts w:ascii="仿宋" w:eastAsia="仿宋" w:hAnsi="仿宋" w:cs="仿宋_GB2312"/>
          <w:color w:val="FF0000"/>
          <w:sz w:val="24"/>
          <w:szCs w:val="24"/>
        </w:rPr>
        <w:t>人、</w:t>
      </w:r>
      <w:r>
        <w:rPr>
          <w:rFonts w:ascii="仿宋" w:eastAsia="仿宋" w:hAnsi="仿宋" w:cs="仿宋_GB2312"/>
          <w:color w:val="FF0000"/>
          <w:sz w:val="24"/>
          <w:szCs w:val="24"/>
        </w:rPr>
        <w:t>技术负责人</w:t>
      </w:r>
      <w:r>
        <w:rPr>
          <w:rFonts w:ascii="仿宋" w:eastAsia="仿宋" w:hAnsi="仿宋" w:cs="仿宋_GB2312"/>
          <w:color w:val="FF0000"/>
          <w:sz w:val="24"/>
          <w:szCs w:val="24"/>
        </w:rPr>
        <w:t>1</w:t>
      </w:r>
      <w:r>
        <w:rPr>
          <w:rFonts w:ascii="仿宋" w:eastAsia="仿宋" w:hAnsi="仿宋" w:cs="仿宋_GB2312"/>
          <w:color w:val="FF0000"/>
          <w:sz w:val="24"/>
          <w:szCs w:val="24"/>
        </w:rPr>
        <w:t>人、质量负责人</w:t>
      </w:r>
      <w:r>
        <w:rPr>
          <w:rFonts w:ascii="仿宋" w:eastAsia="仿宋" w:hAnsi="仿宋" w:cs="仿宋_GB2312"/>
          <w:color w:val="FF0000"/>
          <w:sz w:val="24"/>
          <w:szCs w:val="24"/>
        </w:rPr>
        <w:t>1</w:t>
      </w:r>
      <w:r>
        <w:rPr>
          <w:rFonts w:ascii="仿宋" w:eastAsia="仿宋" w:hAnsi="仿宋" w:cs="仿宋_GB2312"/>
          <w:color w:val="FF0000"/>
          <w:sz w:val="24"/>
          <w:szCs w:val="24"/>
        </w:rPr>
        <w:t>人、测评工程师</w:t>
      </w:r>
      <w:r w:rsidR="008F6276">
        <w:rPr>
          <w:rFonts w:ascii="仿宋" w:eastAsia="仿宋" w:hAnsi="仿宋" w:cs="仿宋_GB2312"/>
          <w:color w:val="FF0000"/>
          <w:sz w:val="24"/>
          <w:szCs w:val="24"/>
          <w:lang w:eastAsia="zh-CN"/>
        </w:rPr>
        <w:t>3</w:t>
      </w:r>
      <w:r>
        <w:rPr>
          <w:rFonts w:ascii="仿宋" w:eastAsia="仿宋" w:hAnsi="仿宋" w:cs="仿宋_GB2312"/>
          <w:color w:val="FF0000"/>
          <w:sz w:val="24"/>
          <w:szCs w:val="24"/>
        </w:rPr>
        <w:t>人，均应独立配置，不能有兼任的情况。</w:t>
      </w:r>
    </w:p>
    <w:p w14:paraId="0643A22B"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w:t>
      </w:r>
      <w:r>
        <w:rPr>
          <w:rFonts w:ascii="仿宋" w:eastAsia="仿宋" w:hAnsi="仿宋" w:cs="仿宋_GB2312"/>
          <w:sz w:val="24"/>
          <w:szCs w:val="24"/>
          <w:lang w:eastAsia="zh-CN"/>
        </w:rPr>
        <w:t>4</w:t>
      </w:r>
      <w:r>
        <w:rPr>
          <w:rFonts w:ascii="仿宋" w:eastAsia="仿宋" w:hAnsi="仿宋" w:cs="仿宋_GB2312"/>
          <w:sz w:val="24"/>
          <w:szCs w:val="24"/>
        </w:rPr>
        <w:t>）成交供应商在项目开始前，与采购人签订保密协议，严格遵守法律法规，对采购人商业秘密、系统风险信息、项目实施内容及成果信息进行严格保密，未经采购人同意，严禁将上述内容与任何第三方透露或用于其他商业用途，并承担由此产生的一切损失。</w:t>
      </w:r>
    </w:p>
    <w:p w14:paraId="0003BCFE" w14:textId="77777777" w:rsidR="007F6CDA" w:rsidRDefault="00535261">
      <w:pPr>
        <w:pStyle w:val="2"/>
        <w:rPr>
          <w:rFonts w:ascii="仿宋" w:eastAsia="仿宋" w:hAnsi="仿宋"/>
          <w:b/>
          <w:bCs/>
          <w:color w:val="auto"/>
          <w:sz w:val="24"/>
          <w:szCs w:val="24"/>
        </w:rPr>
      </w:pPr>
      <w:r>
        <w:rPr>
          <w:rFonts w:ascii="仿宋" w:eastAsia="仿宋" w:hAnsi="仿宋"/>
          <w:b/>
          <w:bCs/>
          <w:color w:val="auto"/>
          <w:sz w:val="24"/>
          <w:szCs w:val="24"/>
        </w:rPr>
        <w:lastRenderedPageBreak/>
        <w:t>（</w:t>
      </w:r>
      <w:r>
        <w:rPr>
          <w:rFonts w:ascii="仿宋" w:eastAsia="仿宋" w:hAnsi="仿宋" w:hint="eastAsia"/>
          <w:b/>
          <w:bCs/>
          <w:color w:val="auto"/>
          <w:sz w:val="24"/>
          <w:szCs w:val="24"/>
        </w:rPr>
        <w:t>五</w:t>
      </w:r>
      <w:r>
        <w:rPr>
          <w:rFonts w:ascii="仿宋" w:eastAsia="仿宋" w:hAnsi="仿宋"/>
          <w:b/>
          <w:bCs/>
          <w:color w:val="auto"/>
          <w:sz w:val="24"/>
          <w:szCs w:val="24"/>
        </w:rPr>
        <w:t>）成果交付</w:t>
      </w:r>
    </w:p>
    <w:p w14:paraId="2A760B0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根据项目内容要求，以电子版或纸质版形式按需求输出成果，其中</w:t>
      </w:r>
      <w:r>
        <w:rPr>
          <w:rFonts w:ascii="仿宋" w:eastAsia="仿宋" w:hAnsi="仿宋" w:cs="仿宋_GB2312"/>
          <w:color w:val="FF0000"/>
          <w:sz w:val="24"/>
          <w:szCs w:val="24"/>
        </w:rPr>
        <w:t>纸质文档</w:t>
      </w:r>
      <w:r>
        <w:rPr>
          <w:rFonts w:ascii="仿宋" w:eastAsia="仿宋" w:hAnsi="仿宋" w:cs="仿宋_GB2312"/>
          <w:color w:val="FF0000"/>
          <w:sz w:val="24"/>
          <w:szCs w:val="24"/>
          <w:lang w:eastAsia="zh-CN"/>
        </w:rPr>
        <w:t>2</w:t>
      </w:r>
      <w:r>
        <w:rPr>
          <w:rFonts w:ascii="仿宋" w:eastAsia="仿宋" w:hAnsi="仿宋" w:cs="仿宋_GB2312"/>
          <w:color w:val="FF0000"/>
          <w:sz w:val="24"/>
          <w:szCs w:val="24"/>
          <w:lang w:eastAsia="zh-CN"/>
        </w:rPr>
        <w:t>份，电子文档</w:t>
      </w:r>
      <w:r>
        <w:rPr>
          <w:rFonts w:ascii="仿宋" w:eastAsia="仿宋" w:hAnsi="仿宋" w:cs="仿宋_GB2312"/>
          <w:color w:val="FF0000"/>
          <w:sz w:val="24"/>
          <w:szCs w:val="24"/>
          <w:lang w:eastAsia="zh-CN"/>
        </w:rPr>
        <w:t>1</w:t>
      </w:r>
      <w:r>
        <w:rPr>
          <w:rFonts w:ascii="仿宋" w:eastAsia="仿宋" w:hAnsi="仿宋" w:cs="仿宋_GB2312"/>
          <w:color w:val="FF0000"/>
          <w:sz w:val="24"/>
          <w:szCs w:val="24"/>
          <w:lang w:eastAsia="zh-CN"/>
        </w:rPr>
        <w:t>份，</w:t>
      </w:r>
      <w:r>
        <w:rPr>
          <w:rFonts w:ascii="仿宋" w:eastAsia="仿宋" w:hAnsi="仿宋" w:cs="仿宋_GB2312"/>
          <w:sz w:val="24"/>
          <w:szCs w:val="24"/>
        </w:rPr>
        <w:t>并针对采购人的咨询进行及时反馈，方式不限于现场支撑、邮件、电话或报告。该项目交付的文档包括但不限于：</w:t>
      </w:r>
    </w:p>
    <w:p w14:paraId="0D91F29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①《信息系统安全等级保护测评方案》</w:t>
      </w:r>
    </w:p>
    <w:p w14:paraId="145425B8" w14:textId="77777777" w:rsidR="007F6CDA" w:rsidRDefault="00535261">
      <w:pPr>
        <w:pStyle w:val="null3"/>
        <w:spacing w:line="360" w:lineRule="auto"/>
        <w:rPr>
          <w:rFonts w:ascii="仿宋" w:eastAsia="仿宋" w:hAnsi="仿宋" w:hint="default"/>
          <w:sz w:val="24"/>
          <w:szCs w:val="24"/>
          <w:lang w:eastAsia="zh-CN"/>
        </w:rPr>
      </w:pPr>
      <w:r>
        <w:rPr>
          <w:rFonts w:ascii="仿宋" w:eastAsia="仿宋" w:hAnsi="仿宋" w:cs="仿宋_GB2312"/>
          <w:sz w:val="24"/>
          <w:szCs w:val="24"/>
        </w:rPr>
        <w:t>②《信息系统安全等级保护测评记录表》</w:t>
      </w:r>
    </w:p>
    <w:p w14:paraId="7B37BB06"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③《信息安全等级保护差距分析报告及整改建议》</w:t>
      </w:r>
    </w:p>
    <w:p w14:paraId="240EE010"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④《信息系统信息安全等级保护测评报告》</w:t>
      </w:r>
    </w:p>
    <w:p w14:paraId="69B67FE1"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⑤《信息系统商用密码应用安全性评估方案》</w:t>
      </w:r>
    </w:p>
    <w:p w14:paraId="1954D22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⑥《信息系统商用密码应用安全性评估报告》</w:t>
      </w:r>
    </w:p>
    <w:p w14:paraId="660FD05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⑦《信息系统商用密码应用安全性整改建议》</w:t>
      </w:r>
    </w:p>
    <w:p w14:paraId="7496DCFC" w14:textId="77777777" w:rsidR="007F6CDA" w:rsidRDefault="007F6CDA">
      <w:pPr>
        <w:spacing w:line="360" w:lineRule="auto"/>
        <w:rPr>
          <w:rFonts w:ascii="仿宋" w:eastAsia="仿宋" w:hAnsi="仿宋" w:cs="仿宋_GB2312"/>
          <w:sz w:val="24"/>
          <w:szCs w:val="24"/>
        </w:rPr>
      </w:pPr>
    </w:p>
    <w:p w14:paraId="110FB118" w14:textId="77777777" w:rsidR="007F6CDA" w:rsidRDefault="00535261">
      <w:pPr>
        <w:pStyle w:val="null3"/>
        <w:spacing w:line="360" w:lineRule="auto"/>
        <w:outlineLvl w:val="2"/>
        <w:rPr>
          <w:rFonts w:ascii="仿宋" w:eastAsia="仿宋" w:hAnsi="仿宋" w:cs="仿宋_GB2312" w:hint="default"/>
          <w:b/>
          <w:sz w:val="24"/>
          <w:szCs w:val="24"/>
        </w:rPr>
      </w:pPr>
      <w:r>
        <w:rPr>
          <w:rFonts w:ascii="仿宋" w:eastAsia="仿宋" w:hAnsi="仿宋" w:cs="仿宋_GB2312"/>
          <w:b/>
          <w:sz w:val="24"/>
          <w:szCs w:val="24"/>
        </w:rPr>
        <w:t>三、商务要求</w:t>
      </w:r>
    </w:p>
    <w:p w14:paraId="22A3C7FA" w14:textId="77777777" w:rsidR="007F6CDA" w:rsidRDefault="007F6CDA">
      <w:pPr>
        <w:spacing w:line="360" w:lineRule="auto"/>
        <w:rPr>
          <w:rFonts w:ascii="仿宋" w:eastAsia="仿宋" w:hAnsi="仿宋" w:cs="仿宋_GB2312"/>
          <w:b/>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95"/>
        <w:gridCol w:w="7861"/>
      </w:tblGrid>
      <w:tr w:rsidR="007F6CDA" w14:paraId="21765433" w14:textId="77777777">
        <w:tc>
          <w:tcPr>
            <w:tcW w:w="1495" w:type="dxa"/>
          </w:tcPr>
          <w:p w14:paraId="0D43EDC5"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商务要求名称</w:t>
            </w:r>
          </w:p>
        </w:tc>
        <w:tc>
          <w:tcPr>
            <w:tcW w:w="7861" w:type="dxa"/>
          </w:tcPr>
          <w:p w14:paraId="0205540E" w14:textId="77777777" w:rsidR="007F6CDA" w:rsidRDefault="00535261">
            <w:pPr>
              <w:pStyle w:val="null3"/>
              <w:spacing w:line="360" w:lineRule="auto"/>
              <w:jc w:val="center"/>
              <w:rPr>
                <w:rFonts w:ascii="仿宋" w:eastAsia="仿宋" w:hAnsi="仿宋" w:hint="default"/>
                <w:sz w:val="24"/>
                <w:szCs w:val="24"/>
              </w:rPr>
            </w:pPr>
            <w:r>
              <w:rPr>
                <w:rFonts w:ascii="仿宋" w:eastAsia="仿宋" w:hAnsi="仿宋" w:cs="仿宋_GB2312"/>
                <w:sz w:val="24"/>
                <w:szCs w:val="24"/>
              </w:rPr>
              <w:t>商务要求内容</w:t>
            </w:r>
          </w:p>
        </w:tc>
      </w:tr>
      <w:tr w:rsidR="007F6CDA" w14:paraId="7684F894" w14:textId="77777777">
        <w:tc>
          <w:tcPr>
            <w:tcW w:w="1495" w:type="dxa"/>
          </w:tcPr>
          <w:p w14:paraId="5388DFB7"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服务期限</w:t>
            </w:r>
          </w:p>
        </w:tc>
        <w:tc>
          <w:tcPr>
            <w:tcW w:w="7861" w:type="dxa"/>
          </w:tcPr>
          <w:p w14:paraId="44FB44A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自合同签订后</w:t>
            </w:r>
            <w:r>
              <w:rPr>
                <w:rFonts w:ascii="仿宋" w:eastAsia="仿宋" w:hAnsi="仿宋" w:cs="仿宋_GB2312"/>
                <w:color w:val="EE0000"/>
                <w:sz w:val="24"/>
                <w:szCs w:val="24"/>
                <w:highlight w:val="yellow"/>
                <w:lang w:eastAsia="zh-CN"/>
              </w:rPr>
              <w:t>90</w:t>
            </w:r>
            <w:r>
              <w:rPr>
                <w:rFonts w:ascii="仿宋" w:eastAsia="仿宋" w:hAnsi="仿宋" w:cs="仿宋_GB2312"/>
                <w:color w:val="EE0000"/>
                <w:sz w:val="24"/>
                <w:szCs w:val="24"/>
                <w:highlight w:val="yellow"/>
                <w:lang w:eastAsia="zh-CN"/>
              </w:rPr>
              <w:t>日</w:t>
            </w:r>
            <w:r>
              <w:rPr>
                <w:rFonts w:ascii="仿宋" w:eastAsia="仿宋" w:hAnsi="仿宋" w:cs="仿宋_GB2312"/>
                <w:sz w:val="24"/>
                <w:szCs w:val="24"/>
              </w:rPr>
              <w:t>内完成</w:t>
            </w:r>
          </w:p>
        </w:tc>
      </w:tr>
      <w:tr w:rsidR="007F6CDA" w14:paraId="329F9C0E" w14:textId="77777777">
        <w:tc>
          <w:tcPr>
            <w:tcW w:w="1495" w:type="dxa"/>
          </w:tcPr>
          <w:p w14:paraId="66413E06"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服务地点</w:t>
            </w:r>
          </w:p>
        </w:tc>
        <w:tc>
          <w:tcPr>
            <w:tcW w:w="7861" w:type="dxa"/>
          </w:tcPr>
          <w:p w14:paraId="6FF55A8C"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采购人指定的项目实施地点</w:t>
            </w:r>
          </w:p>
        </w:tc>
      </w:tr>
      <w:tr w:rsidR="007F6CDA" w14:paraId="0A04FEE3" w14:textId="77777777">
        <w:tc>
          <w:tcPr>
            <w:tcW w:w="1495" w:type="dxa"/>
          </w:tcPr>
          <w:p w14:paraId="30328DD8"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验收、交付标准和方法</w:t>
            </w:r>
          </w:p>
        </w:tc>
        <w:tc>
          <w:tcPr>
            <w:tcW w:w="7861" w:type="dxa"/>
          </w:tcPr>
          <w:p w14:paraId="1E785942"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待整改完毕后，进行结果复测和整改确认，达到信息安全等级保护标准，完成信息安全等级保护测评和商用密码安全性评估，出具《网络安全等级保护测评报告》、《商用密码安全性评估报告》，并完成备案。</w:t>
            </w:r>
            <w:r>
              <w:rPr>
                <w:rFonts w:ascii="仿宋" w:eastAsia="仿宋" w:hAnsi="仿宋" w:cs="仿宋_GB2312"/>
                <w:sz w:val="24"/>
                <w:szCs w:val="24"/>
              </w:rPr>
              <w:t xml:space="preserve"> </w:t>
            </w:r>
            <w:r>
              <w:rPr>
                <w:rFonts w:ascii="仿宋" w:eastAsia="仿宋" w:hAnsi="仿宋" w:cs="仿宋_GB2312"/>
                <w:sz w:val="24"/>
                <w:szCs w:val="24"/>
              </w:rPr>
              <w:t>按照《中华人民共和国政府采购法》、《中华人民共和国政府采购法实施条例》和《财政部关于进一步加强政府采购需求和履约验收管理的指导意见》（财库〔</w:t>
            </w:r>
            <w:r>
              <w:rPr>
                <w:rFonts w:ascii="仿宋" w:eastAsia="仿宋" w:hAnsi="仿宋" w:cs="仿宋_GB2312"/>
                <w:sz w:val="24"/>
                <w:szCs w:val="24"/>
              </w:rPr>
              <w:t>2016</w:t>
            </w:r>
            <w:r>
              <w:rPr>
                <w:rFonts w:ascii="仿宋" w:eastAsia="仿宋" w:hAnsi="仿宋" w:cs="仿宋_GB2312"/>
                <w:sz w:val="24"/>
                <w:szCs w:val="24"/>
              </w:rPr>
              <w:t>〕</w:t>
            </w:r>
            <w:r>
              <w:rPr>
                <w:rFonts w:ascii="仿宋" w:eastAsia="仿宋" w:hAnsi="仿宋" w:cs="仿宋_GB2312"/>
                <w:sz w:val="24"/>
                <w:szCs w:val="24"/>
              </w:rPr>
              <w:t>205</w:t>
            </w:r>
            <w:r>
              <w:rPr>
                <w:rFonts w:ascii="仿宋" w:eastAsia="仿宋" w:hAnsi="仿宋" w:cs="仿宋_GB2312"/>
                <w:sz w:val="24"/>
                <w:szCs w:val="24"/>
              </w:rPr>
              <w:t>号）的要求进行验收。</w:t>
            </w:r>
          </w:p>
        </w:tc>
      </w:tr>
      <w:tr w:rsidR="007F6CDA" w14:paraId="5FF18BD2" w14:textId="77777777">
        <w:tc>
          <w:tcPr>
            <w:tcW w:w="1495" w:type="dxa"/>
          </w:tcPr>
          <w:p w14:paraId="7CB30FFF"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支付方式</w:t>
            </w:r>
          </w:p>
        </w:tc>
        <w:tc>
          <w:tcPr>
            <w:tcW w:w="7861" w:type="dxa"/>
          </w:tcPr>
          <w:p w14:paraId="7C79990D"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分期付款</w:t>
            </w:r>
          </w:p>
        </w:tc>
      </w:tr>
      <w:tr w:rsidR="007F6CDA" w14:paraId="79DE9337" w14:textId="77777777">
        <w:tc>
          <w:tcPr>
            <w:tcW w:w="1495" w:type="dxa"/>
          </w:tcPr>
          <w:p w14:paraId="508DDA1E"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付款进度安排</w:t>
            </w:r>
          </w:p>
        </w:tc>
        <w:tc>
          <w:tcPr>
            <w:tcW w:w="7861" w:type="dxa"/>
          </w:tcPr>
          <w:p w14:paraId="6CF5A123"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t>1</w:t>
            </w:r>
            <w:r>
              <w:rPr>
                <w:rFonts w:ascii="仿宋" w:eastAsia="仿宋" w:hAnsi="仿宋" w:cs="仿宋_GB2312"/>
                <w:sz w:val="24"/>
                <w:szCs w:val="24"/>
              </w:rPr>
              <w:t>、合同签订且收到等额商业发票之后，达到付款条件起</w:t>
            </w:r>
            <w:r>
              <w:rPr>
                <w:rFonts w:ascii="仿宋" w:eastAsia="仿宋" w:hAnsi="仿宋" w:cs="仿宋_GB2312"/>
                <w:sz w:val="24"/>
                <w:szCs w:val="24"/>
              </w:rPr>
              <w:t>10</w:t>
            </w:r>
            <w:r>
              <w:rPr>
                <w:rFonts w:ascii="仿宋" w:eastAsia="仿宋" w:hAnsi="仿宋" w:cs="仿宋_GB2312"/>
                <w:sz w:val="24"/>
                <w:szCs w:val="24"/>
              </w:rPr>
              <w:t>日内，</w:t>
            </w:r>
            <w:r>
              <w:rPr>
                <w:rFonts w:ascii="仿宋" w:eastAsia="仿宋" w:hAnsi="仿宋" w:cs="仿宋_GB2312"/>
                <w:sz w:val="24"/>
                <w:szCs w:val="24"/>
              </w:rPr>
              <w:t>支付合同总金额的</w:t>
            </w:r>
            <w:r>
              <w:rPr>
                <w:rFonts w:ascii="仿宋" w:eastAsia="仿宋" w:hAnsi="仿宋" w:cs="仿宋_GB2312"/>
                <w:sz w:val="24"/>
                <w:szCs w:val="24"/>
                <w:lang w:eastAsia="zh-CN"/>
              </w:rPr>
              <w:t>5</w:t>
            </w:r>
            <w:r>
              <w:rPr>
                <w:rFonts w:ascii="仿宋" w:eastAsia="仿宋" w:hAnsi="仿宋" w:cs="仿宋_GB2312"/>
                <w:sz w:val="24"/>
                <w:szCs w:val="24"/>
              </w:rPr>
              <w:t>0.00%</w:t>
            </w:r>
          </w:p>
          <w:p w14:paraId="5B4825CA" w14:textId="77777777" w:rsidR="007F6CDA" w:rsidRDefault="00535261">
            <w:pPr>
              <w:pStyle w:val="null3"/>
              <w:spacing w:line="360" w:lineRule="auto"/>
              <w:rPr>
                <w:rFonts w:ascii="仿宋" w:eastAsia="仿宋" w:hAnsi="仿宋" w:hint="default"/>
                <w:sz w:val="24"/>
                <w:szCs w:val="24"/>
              </w:rPr>
            </w:pPr>
            <w:r>
              <w:rPr>
                <w:rFonts w:ascii="仿宋" w:eastAsia="仿宋" w:hAnsi="仿宋" w:cs="仿宋_GB2312"/>
                <w:sz w:val="24"/>
                <w:szCs w:val="24"/>
              </w:rPr>
              <w:lastRenderedPageBreak/>
              <w:t>2</w:t>
            </w:r>
            <w:r>
              <w:rPr>
                <w:rFonts w:ascii="仿宋" w:eastAsia="仿宋" w:hAnsi="仿宋" w:cs="仿宋_GB2312"/>
                <w:sz w:val="24"/>
                <w:szCs w:val="24"/>
              </w:rPr>
              <w:t>、出具《网络安全等级保护测评报告》、《商用密码安全性评估报告》，项目验收合格并向采购人移交全部项目资料，在收到供应商提供的商业发票，达到付款条件起</w:t>
            </w:r>
            <w:r>
              <w:rPr>
                <w:rFonts w:ascii="仿宋" w:eastAsia="仿宋" w:hAnsi="仿宋" w:cs="仿宋_GB2312"/>
                <w:sz w:val="24"/>
                <w:szCs w:val="24"/>
              </w:rPr>
              <w:t>10</w:t>
            </w:r>
            <w:r>
              <w:rPr>
                <w:rFonts w:ascii="仿宋" w:eastAsia="仿宋" w:hAnsi="仿宋" w:cs="仿宋_GB2312"/>
                <w:sz w:val="24"/>
                <w:szCs w:val="24"/>
              </w:rPr>
              <w:t>日内，支付合同总金额的</w:t>
            </w:r>
            <w:r>
              <w:rPr>
                <w:rFonts w:ascii="仿宋" w:eastAsia="仿宋" w:hAnsi="仿宋" w:cs="仿宋_GB2312"/>
                <w:sz w:val="24"/>
                <w:szCs w:val="24"/>
                <w:lang w:eastAsia="zh-CN"/>
              </w:rPr>
              <w:t>5</w:t>
            </w:r>
            <w:r>
              <w:rPr>
                <w:rFonts w:ascii="仿宋" w:eastAsia="仿宋" w:hAnsi="仿宋" w:cs="仿宋_GB2312"/>
                <w:sz w:val="24"/>
                <w:szCs w:val="24"/>
              </w:rPr>
              <w:t>0.00%</w:t>
            </w:r>
          </w:p>
        </w:tc>
      </w:tr>
    </w:tbl>
    <w:p w14:paraId="0409F68B" w14:textId="77777777" w:rsidR="007F6CDA" w:rsidRDefault="007F6CDA">
      <w:pPr>
        <w:spacing w:line="360" w:lineRule="auto"/>
        <w:rPr>
          <w:rFonts w:ascii="仿宋" w:eastAsia="仿宋" w:hAnsi="仿宋"/>
          <w:sz w:val="24"/>
          <w:szCs w:val="24"/>
        </w:rPr>
      </w:pPr>
    </w:p>
    <w:p w14:paraId="1F73CFCE" w14:textId="5D7EDAFE" w:rsidR="007F6CDA" w:rsidRDefault="007F6CDA">
      <w:pPr>
        <w:widowControl/>
        <w:jc w:val="left"/>
        <w:rPr>
          <w:rFonts w:ascii="仿宋" w:eastAsia="仿宋" w:hAnsi="仿宋"/>
          <w:sz w:val="24"/>
          <w:szCs w:val="24"/>
        </w:rPr>
      </w:pPr>
    </w:p>
    <w:sectPr w:rsidR="007F6CDA">
      <w:pgSz w:w="11906" w:h="16838"/>
      <w:pgMar w:top="1440" w:right="1133" w:bottom="1440"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38D1F" w14:textId="77777777" w:rsidR="00535261" w:rsidRDefault="00535261" w:rsidP="000D1684">
      <w:r>
        <w:separator/>
      </w:r>
    </w:p>
  </w:endnote>
  <w:endnote w:type="continuationSeparator" w:id="0">
    <w:p w14:paraId="2A49B3AF" w14:textId="77777777" w:rsidR="00535261" w:rsidRDefault="00535261" w:rsidP="000D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2585B" w14:textId="77777777" w:rsidR="00535261" w:rsidRDefault="00535261" w:rsidP="000D1684">
      <w:r>
        <w:separator/>
      </w:r>
    </w:p>
  </w:footnote>
  <w:footnote w:type="continuationSeparator" w:id="0">
    <w:p w14:paraId="2B875A7E" w14:textId="77777777" w:rsidR="00535261" w:rsidRDefault="00535261" w:rsidP="000D16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919"/>
    <w:rsid w:val="000D1684"/>
    <w:rsid w:val="000E5D5D"/>
    <w:rsid w:val="00135782"/>
    <w:rsid w:val="00153081"/>
    <w:rsid w:val="0018310B"/>
    <w:rsid w:val="00187847"/>
    <w:rsid w:val="00234689"/>
    <w:rsid w:val="00242355"/>
    <w:rsid w:val="00257755"/>
    <w:rsid w:val="002C4762"/>
    <w:rsid w:val="00335D7B"/>
    <w:rsid w:val="0043318B"/>
    <w:rsid w:val="004870D7"/>
    <w:rsid w:val="00535261"/>
    <w:rsid w:val="005B587D"/>
    <w:rsid w:val="005D3FAA"/>
    <w:rsid w:val="00606017"/>
    <w:rsid w:val="007E34E7"/>
    <w:rsid w:val="007F6CDA"/>
    <w:rsid w:val="008001AF"/>
    <w:rsid w:val="00845A8F"/>
    <w:rsid w:val="008E5940"/>
    <w:rsid w:val="008F6276"/>
    <w:rsid w:val="00900D54"/>
    <w:rsid w:val="0090118A"/>
    <w:rsid w:val="009B7919"/>
    <w:rsid w:val="009F1587"/>
    <w:rsid w:val="00A16957"/>
    <w:rsid w:val="00AC2FA7"/>
    <w:rsid w:val="00B83429"/>
    <w:rsid w:val="00B95515"/>
    <w:rsid w:val="00BA5E21"/>
    <w:rsid w:val="00BB76F7"/>
    <w:rsid w:val="00CA45AE"/>
    <w:rsid w:val="00DE216F"/>
    <w:rsid w:val="00E66EAC"/>
    <w:rsid w:val="00EC1CFF"/>
    <w:rsid w:val="00F906F5"/>
    <w:rsid w:val="355C1D0A"/>
    <w:rsid w:val="43367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10C48"/>
  <w15:docId w15:val="{99A7F8B4-4F2C-4AB3-942E-81C4FAF96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qFormat/>
    <w:rPr>
      <w:sz w:val="18"/>
      <w:szCs w:val="18"/>
    </w:rPr>
  </w:style>
  <w:style w:type="character" w:customStyle="1" w:styleId="a4">
    <w:name w:val="页脚 字符"/>
    <w:basedOn w:val="a0"/>
    <w:link w:val="a3"/>
    <w:uiPriority w:val="99"/>
    <w:qFormat/>
    <w:rPr>
      <w:sz w:val="18"/>
      <w:szCs w:val="18"/>
    </w:rPr>
  </w:style>
  <w:style w:type="paragraph" w:customStyle="1" w:styleId="null3">
    <w:name w:val="null3"/>
    <w:hidden/>
    <w:qFormat/>
    <w:rPr>
      <w:rFonts w:hint="eastAsia"/>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EF935-2BAE-4F22-B92C-F86F27D36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5006</Words>
  <Characters>5207</Characters>
  <Application>Microsoft Office Word</Application>
  <DocSecurity>0</DocSecurity>
  <Lines>400</Lines>
  <Paragraphs>486</Paragraphs>
  <ScaleCrop>false</ScaleCrop>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chf li</dc:creator>
  <cp:lastModifiedBy>zhaofy</cp:lastModifiedBy>
  <cp:revision>2</cp:revision>
  <dcterms:created xsi:type="dcterms:W3CDTF">2026-07-17T02:32:00Z</dcterms:created>
  <dcterms:modified xsi:type="dcterms:W3CDTF">2026-07-17T02:32:00Z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eyJoZGlkIjoiM2E3ZDE2MjUyMjQ2ODUxNzQ3ZDFhOGNlNzY4MTAzYzAiLCJ1c2VySWQiOiI0NDE1OTY4MzkifQ==</vt:lpwstr>
  </property>
  <property fmtid="{D5CDD505-2E9C-101B-9397-08002B2CF9AE}" pid="3" name="KSOProductBuildVer">
    <vt:lpwstr>2052-12.1.0.25225</vt:lpwstr>
  </property>
  <property fmtid="{D5CDD505-2E9C-101B-9397-08002B2CF9AE}" pid="4" name="ICV">
    <vt:lpwstr>DBC92E33022F4B138B27FF25F698E744_12</vt:lpwstr>
  </property>
</Properties>
</file>