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exact"/>
        <w:ind w:firstLine="600" w:firstLineChars="200"/>
        <w:jc w:val="center"/>
        <w:rPr>
          <w:rFonts w:hint="default" w:ascii="宋体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sz w:val="30"/>
          <w:szCs w:val="30"/>
          <w:lang w:val="en-US" w:eastAsia="zh-CN"/>
        </w:rPr>
        <w:t>杜亚军同志任期述职述廉报告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一、在政治品质方面，理想信念坚定，对党忠诚、政治纪律和规矩强，增强“四个意识”，坚定“四个自信”，做到“两个维护”，始终在政治立场、政治方向、政治原则、政治道路上同党中央保持高度一致。严守党的政治纪律，认真贯彻执行中央、省委的路线、方针政策。为人正派、遵守社会公德、职业道德、清正廉洁、实事求是、家庭和睦、乐于奉献。</w:t>
      </w:r>
    </w:p>
    <w:p>
      <w:pPr>
        <w:widowControl w:val="0"/>
        <w:numPr>
          <w:ilvl w:val="0"/>
          <w:numId w:val="0"/>
        </w:numPr>
        <w:spacing w:line="360" w:lineRule="exact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二、2017年来中心工作后，主动转变工作角色，快速地实现从学院工作到中心工作的转变、从工作中副职到正职的转变。在工作中能把握学校信息化工作的全局，有力推进十三五全校信息化重点工作。扎实工作，不断从实践中积累经验，提高工作能力。顺利地履行岗位赋予的职责和完成好上级交给的各项任务。</w:t>
      </w:r>
    </w:p>
    <w:p>
      <w:pPr>
        <w:widowControl w:val="0"/>
        <w:numPr>
          <w:ilvl w:val="0"/>
          <w:numId w:val="0"/>
        </w:numPr>
        <w:spacing w:line="360" w:lineRule="exact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三、工作中勤奋踏实，认真履职。对工作积极主动谋划、对学习每年的重点工作坚定不移执行，对学校党委的决策部署坚定不移执行，对中心例会的部署坚定不移执行。热爱本职工作，对工作中遇到的难题，总是千方百计竭尽所能予以解决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四、（1）积极开展不忘初心、牢记使命的主题教育活动、开展两学一做的主题教育活动、开展党史学习活动。在执行党的路线方针不折不扣。充分发挥我自己在中心工作中的模范带头作用。组织政治学习80余次。认真履行基层支部书记的工作职责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2）在加强中心工作规范管理工作，制定了西华大学信息化项目管理办法、西华大学教育移动互联网应用程序管理办法、西华大学网络安全管理办法、西华大学校园网楼宇布线系统建设与管理办法等文件。在工作中认真执行，特别是对学校信息化项目管理办法，组织30余次信息化项目申报、验收评审会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（3）组织全校信息化项目200余项，经费近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余万元，保障了全校重要的信息化建设项目建设。主要有cernet、机房、全校公共信息化平台的常规维护等级保护等工作。同时也保障了学校其它业务部门急需的信息化业务平台的新建。另外主动开源节流，积极争取外部资源参与学校信息化建设工作。与电信、联通、移动公司合作实现了西华大学校园网出口二次认证改造；与中国银行和新开普公司合作对全校一卡通进行了升级改造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4）加强学校智慧校园的基础设施建设，推动学校无线WIFI网络建设，对校内部分区域完成了无线校园网覆盖，实现了无感知无线连接与认证。推动了学校新机房改造工作，完成了数据中心云平台建设。推动学校网络万兆升级改造，实现万兆到楼宇千兆到桌面工程、推动学校校园网光纤改造工作。积极推动学校老学生宿舍1-10栋的光纤改造工程。推动学校四个校区一张网络工程。</w:t>
      </w:r>
    </w:p>
    <w:p>
      <w:pPr>
        <w:autoSpaceDE w:val="0"/>
        <w:autoSpaceDN w:val="0"/>
        <w:spacing w:line="3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（5）加强网络信息安全工作；利用国家网络信息安全周，加强网路信息安全的宣传。处理网络安全事件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余起，拦截网络攻击1,893,628次，自2017年实现近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天安全24小时值班值守无网络安全事故的发生，为党的十九大、国庆阅兵、研究生入学、春节等国家法定节假等一些敏感时间节点做好网络安全保障。</w:t>
      </w:r>
    </w:p>
    <w:p>
      <w:pPr>
        <w:autoSpaceDE w:val="0"/>
        <w:autoSpaceDN w:val="0"/>
        <w:spacing w:line="320" w:lineRule="exact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（6）加强学校智慧校园建设，同信息与网络中心、其它职能业务部门全体同志配合，完成了学校智慧财务、国资管理、科研管理、学校校门门禁改造、军民融合大数据实验平台、图书馆道闸系统、后勤</w:t>
      </w:r>
      <w:r>
        <w:rPr>
          <w:rFonts w:hint="eastAsia" w:ascii="宋体" w:hAnsi="宋体" w:cs="宋体"/>
          <w:kern w:val="0"/>
          <w:sz w:val="28"/>
          <w:szCs w:val="28"/>
        </w:rPr>
        <w:t>宿舍管理系统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运维审计系统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西华大学财政电子票据系统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一卡通大数据平台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新建与扩建。支持学校邮件系统、OA系统、档案管理系统、学校信息门户的升级改造。自主研发了学校舆情报送系统。推动学校网上办事大厅、数据治理工作。</w:t>
      </w:r>
    </w:p>
    <w:p>
      <w:pPr>
        <w:autoSpaceDE w:val="0"/>
        <w:autoSpaceDN w:val="0"/>
        <w:spacing w:line="3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7）积极对外交流合作。信息与网络中心工作稳步开展。与电信、移动、联通建立长期的合作关系，寻求企业技术探讨近200余次。企业来中心技术交流100余次，中心职工外出参加各种技术培训达30人次。主动到省内外高校信息化建设调研20余次。</w:t>
      </w:r>
    </w:p>
    <w:p>
      <w:pPr>
        <w:autoSpaceDE w:val="0"/>
        <w:autoSpaceDN w:val="0"/>
        <w:spacing w:line="320" w:lineRule="exact"/>
        <w:ind w:firstLine="560" w:firstLineChars="200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8）支持班子成员开展学校网络运维和网络技术保障工作，近4年全校网络运行无大的事故发生、推动网络运维主动下基层服务工作，减少了网络运维过程中事故发生。带领信息与网络中心全体老师坚守岗位职责，勤奋工作。对学校党委、行政负责。圆满完成了信息与网络管理中心4年度目标任务。</w:t>
      </w:r>
    </w:p>
    <w:p>
      <w:pPr>
        <w:autoSpaceDE w:val="0"/>
        <w:autoSpaceDN w:val="0"/>
        <w:spacing w:line="3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9）承担了研究生课程社交网络与社会计算。培养研究生12名，组织实验室每次一次的学术报告会，共计163场，3000余人次参加。外出参加国际国内学术会议25次，企业调研10余次，外出参加四川、成都、重庆等不同科技项目评审100余次。出国在南洋理工大学学习2周，去日本东京大学、神奈川等作大健康数据分析考察1次。</w:t>
      </w:r>
    </w:p>
    <w:p>
      <w:pPr>
        <w:widowControl w:val="0"/>
        <w:numPr>
          <w:ilvl w:val="0"/>
          <w:numId w:val="0"/>
        </w:numPr>
        <w:spacing w:line="360" w:lineRule="exact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（10）承担了研究生课程社交网络与社会计算4次。培养研究生16名，申报成功国家自然科学基金1项、四川区域合作重点项目1项，完成国家自然科学基金项目研究2项，科研到位经费200余万元。发表学术论文38篇，其中SCI论文16篇，EI论文22篇。获得发明专利授权2项，申请4项发明专利。</w:t>
      </w:r>
    </w:p>
    <w:p>
      <w:pPr>
        <w:widowControl w:val="0"/>
        <w:numPr>
          <w:ilvl w:val="0"/>
          <w:numId w:val="0"/>
        </w:numPr>
        <w:spacing w:line="360" w:lineRule="exact"/>
        <w:ind w:firstLine="560" w:firstLineChars="200"/>
        <w:jc w:val="both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五、在学校党委的坚强领导下，坚持以习近平新时代中国特色社会主义思想为指导，认真落实全面从严治党和党风廉政建设主体责任。强化党的理论学习，持续提高思想意识。一是通过中心教职工政治学习、三会一课的学习，提高不忘初心思想意识，在思想上筑牢拒腐防变的思想道德防线。提高自己对党风廉政建设和反腐败工作八个方面的认识。在工作中，随时把纪律和规矩挺在前面，将政治纪律和政治规矩作为党员干部在政治方向、政治立场、政治言论、政治行动等方面必须遵守的刚性约束，严格执行《中国共产党廉洁自律准则》和《中国共产党纪律处分条例》，筑牢纪律底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42FA2"/>
    <w:rsid w:val="1D942FA2"/>
    <w:rsid w:val="688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2021-05-30T07:39:00Z</dcterms:created>
  <dc:creator>杜亚军</dc:creator>
  <cp:lastModifiedBy>杜亚军</cp:lastModifiedBy>
  <dcterms:modified xsi:type="dcterms:W3CDTF">2021-06-07T03:10:04Z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CFA4A2C9F67B4C4C91BB9A4238FB6F9E</vt:lpwstr>
  </property>
</Properties>
</file>